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C4" w:rsidRPr="002F6E0C" w:rsidRDefault="002F6E0C" w:rsidP="00F50089">
      <w:pPr>
        <w:pStyle w:val="NoSpacing"/>
        <w:jc w:val="center"/>
      </w:pPr>
      <w:r w:rsidRPr="002F6E0C">
        <w:t>Course Syllabus</w:t>
      </w:r>
    </w:p>
    <w:p w:rsidR="006701FD" w:rsidRPr="00D41760" w:rsidRDefault="006701FD" w:rsidP="006701FD">
      <w:pPr>
        <w:pStyle w:val="NoSpacing"/>
        <w:jc w:val="center"/>
        <w:rPr>
          <w:sz w:val="36"/>
        </w:rPr>
      </w:pPr>
      <w:r>
        <w:rPr>
          <w:sz w:val="36"/>
        </w:rPr>
        <w:t>Health/Wellness I</w:t>
      </w:r>
    </w:p>
    <w:p w:rsidR="006701FD" w:rsidRDefault="002F6E0C" w:rsidP="002F6E0C">
      <w:pPr>
        <w:rPr>
          <w:sz w:val="24"/>
        </w:rPr>
      </w:pPr>
      <w:r w:rsidRPr="002F6E0C">
        <w:rPr>
          <w:b/>
          <w:sz w:val="24"/>
        </w:rPr>
        <w:t>Course Description</w:t>
      </w:r>
      <w:r w:rsidRPr="002F6E0C">
        <w:rPr>
          <w:sz w:val="24"/>
        </w:rPr>
        <w:t xml:space="preserve">: </w:t>
      </w:r>
    </w:p>
    <w:p w:rsidR="004C7E95" w:rsidRPr="006701FD" w:rsidRDefault="006701FD" w:rsidP="006701FD">
      <w:pPr>
        <w:rPr>
          <w:sz w:val="24"/>
        </w:rPr>
      </w:pPr>
      <w:r>
        <w:rPr>
          <w:sz w:val="24"/>
        </w:rPr>
        <w:t>In this course students will participate in a variety of activities that support each student’s learning around healthy life choices and lifestyles and with improving their decision making skills. Students will be provided with a foundation toward being fit for life.</w:t>
      </w:r>
    </w:p>
    <w:p w:rsidR="002F6E0C" w:rsidRDefault="002F6E0C" w:rsidP="002F6E0C">
      <w:pPr>
        <w:rPr>
          <w:sz w:val="24"/>
        </w:rPr>
      </w:pPr>
      <w:r w:rsidRPr="002F6E0C">
        <w:rPr>
          <w:b/>
          <w:sz w:val="24"/>
        </w:rPr>
        <w:t>Competencies</w:t>
      </w:r>
      <w:r w:rsidRPr="002F6E0C">
        <w:rPr>
          <w:sz w:val="24"/>
        </w:rPr>
        <w:t xml:space="preserve">: </w:t>
      </w:r>
    </w:p>
    <w:p w:rsidR="0026423A" w:rsidRDefault="0026423A" w:rsidP="0026423A">
      <w:pPr>
        <w:pStyle w:val="ListParagraph"/>
        <w:numPr>
          <w:ilvl w:val="0"/>
          <w:numId w:val="8"/>
        </w:numPr>
        <w:rPr>
          <w:sz w:val="24"/>
        </w:rPr>
      </w:pPr>
      <w:r>
        <w:rPr>
          <w:sz w:val="24"/>
        </w:rPr>
        <w:t>Students will predict how healthy behaviors can affect health status.</w:t>
      </w:r>
    </w:p>
    <w:p w:rsidR="0026423A" w:rsidRDefault="0026423A" w:rsidP="0026423A">
      <w:pPr>
        <w:pStyle w:val="ListParagraph"/>
        <w:numPr>
          <w:ilvl w:val="0"/>
          <w:numId w:val="8"/>
        </w:numPr>
        <w:rPr>
          <w:sz w:val="24"/>
        </w:rPr>
      </w:pPr>
      <w:r>
        <w:rPr>
          <w:sz w:val="24"/>
        </w:rPr>
        <w:t>Students will access and use resources that provide valid health information.</w:t>
      </w:r>
    </w:p>
    <w:p w:rsidR="0026423A" w:rsidRDefault="0026423A" w:rsidP="0026423A">
      <w:pPr>
        <w:pStyle w:val="ListParagraph"/>
        <w:numPr>
          <w:ilvl w:val="0"/>
          <w:numId w:val="8"/>
        </w:numPr>
        <w:rPr>
          <w:sz w:val="24"/>
        </w:rPr>
      </w:pPr>
      <w:r>
        <w:rPr>
          <w:sz w:val="24"/>
        </w:rPr>
        <w:t>Students will demonstrate and apply effective communication skills to enhance the health of self and others.</w:t>
      </w:r>
    </w:p>
    <w:p w:rsidR="0026423A" w:rsidRPr="0026423A" w:rsidRDefault="0026423A" w:rsidP="0026423A">
      <w:pPr>
        <w:pStyle w:val="ListParagraph"/>
        <w:numPr>
          <w:ilvl w:val="0"/>
          <w:numId w:val="8"/>
        </w:numPr>
        <w:rPr>
          <w:sz w:val="24"/>
        </w:rPr>
      </w:pPr>
      <w:r>
        <w:rPr>
          <w:sz w:val="24"/>
        </w:rPr>
        <w:t>Students will evaluate and defend health choices and alternatives to promote effectiveness of health-related decisions.</w:t>
      </w:r>
    </w:p>
    <w:p w:rsidR="002F6E0C" w:rsidRDefault="002F6E0C" w:rsidP="002F6E0C">
      <w:r w:rsidRPr="002F6E0C">
        <w:rPr>
          <w:b/>
          <w:sz w:val="24"/>
        </w:rPr>
        <w:t>Standards</w:t>
      </w:r>
      <w:r w:rsidRPr="002F6E0C">
        <w:rPr>
          <w:sz w:val="24"/>
        </w:rPr>
        <w:t xml:space="preserve">: </w:t>
      </w:r>
      <w:r w:rsidR="00881A1F">
        <w:rPr>
          <w:sz w:val="24"/>
        </w:rPr>
        <w:t>Nati</w:t>
      </w:r>
      <w:r w:rsidR="004270F9">
        <w:rPr>
          <w:sz w:val="24"/>
        </w:rPr>
        <w:t>onal Health Education Standards</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38" w:type="dxa"/>
          <w:left w:w="38" w:type="dxa"/>
          <w:bottom w:w="38" w:type="dxa"/>
          <w:right w:w="38" w:type="dxa"/>
        </w:tblCellMar>
        <w:tblLook w:val="04A0" w:firstRow="1" w:lastRow="0" w:firstColumn="1" w:lastColumn="0" w:noHBand="0" w:noVBand="1"/>
      </w:tblPr>
      <w:tblGrid>
        <w:gridCol w:w="1186"/>
        <w:gridCol w:w="8250"/>
      </w:tblGrid>
      <w:tr w:rsidR="00881A1F" w:rsidRPr="00881A1F" w:rsidTr="00881A1F">
        <w:tc>
          <w:tcPr>
            <w:tcW w:w="0" w:type="auto"/>
            <w:tcBorders>
              <w:top w:val="single" w:sz="6" w:space="0" w:color="000000"/>
              <w:left w:val="single" w:sz="6" w:space="0" w:color="000000"/>
              <w:bottom w:val="single" w:sz="6" w:space="0" w:color="000000"/>
              <w:right w:val="single" w:sz="6" w:space="0" w:color="000000"/>
            </w:tcBorders>
            <w:shd w:val="clear" w:color="auto" w:fill="F3F2F9"/>
            <w:noWrap/>
            <w:hideMark/>
          </w:tcPr>
          <w:p w:rsidR="00881A1F" w:rsidRPr="00881A1F" w:rsidRDefault="00990C01" w:rsidP="00881A1F">
            <w:pPr>
              <w:spacing w:after="0" w:line="240" w:lineRule="auto"/>
              <w:jc w:val="center"/>
              <w:rPr>
                <w:rFonts w:ascii="Verdana" w:eastAsia="Times New Roman" w:hAnsi="Verdana" w:cs="Times New Roman"/>
                <w:b/>
                <w:bCs/>
                <w:color w:val="000000"/>
                <w:sz w:val="18"/>
                <w:szCs w:val="18"/>
              </w:rPr>
            </w:pPr>
            <w:hyperlink r:id="rId9" w:history="1">
              <w:r w:rsidR="00881A1F" w:rsidRPr="00881A1F">
                <w:rPr>
                  <w:rFonts w:ascii="Verdana" w:eastAsia="Times New Roman" w:hAnsi="Verdana" w:cs="Times New Roman"/>
                  <w:b/>
                  <w:bCs/>
                  <w:color w:val="4A006E"/>
                  <w:sz w:val="18"/>
                  <w:szCs w:val="18"/>
                  <w:u w:val="single"/>
                </w:rPr>
                <w:t>Standard 1</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1A1F" w:rsidRPr="00881A1F" w:rsidRDefault="00881A1F" w:rsidP="00881A1F">
            <w:pPr>
              <w:spacing w:after="0" w:line="240" w:lineRule="auto"/>
              <w:rPr>
                <w:rFonts w:ascii="Verdana" w:eastAsia="Times New Roman" w:hAnsi="Verdana" w:cs="Times New Roman"/>
                <w:color w:val="000000"/>
                <w:sz w:val="18"/>
                <w:szCs w:val="18"/>
              </w:rPr>
            </w:pPr>
            <w:r w:rsidRPr="00881A1F">
              <w:rPr>
                <w:rFonts w:ascii="Verdana" w:eastAsia="Times New Roman" w:hAnsi="Verdana" w:cs="Times New Roman"/>
                <w:color w:val="000000"/>
                <w:sz w:val="18"/>
                <w:szCs w:val="18"/>
              </w:rPr>
              <w:t>Students will comprehend concepts related to health promotion and disease prevention to enhance health.</w:t>
            </w:r>
          </w:p>
        </w:tc>
      </w:tr>
      <w:tr w:rsidR="00881A1F" w:rsidRPr="00881A1F" w:rsidTr="00881A1F">
        <w:tc>
          <w:tcPr>
            <w:tcW w:w="0" w:type="auto"/>
            <w:tcBorders>
              <w:top w:val="single" w:sz="6" w:space="0" w:color="000000"/>
              <w:left w:val="single" w:sz="6" w:space="0" w:color="000000"/>
              <w:bottom w:val="single" w:sz="6" w:space="0" w:color="000000"/>
              <w:right w:val="single" w:sz="6" w:space="0" w:color="000000"/>
            </w:tcBorders>
            <w:shd w:val="clear" w:color="auto" w:fill="F3F2F9"/>
            <w:noWrap/>
            <w:hideMark/>
          </w:tcPr>
          <w:p w:rsidR="00881A1F" w:rsidRPr="00881A1F" w:rsidRDefault="00990C01" w:rsidP="00881A1F">
            <w:pPr>
              <w:spacing w:after="0" w:line="240" w:lineRule="auto"/>
              <w:jc w:val="center"/>
              <w:rPr>
                <w:rFonts w:ascii="Verdana" w:eastAsia="Times New Roman" w:hAnsi="Verdana" w:cs="Times New Roman"/>
                <w:b/>
                <w:bCs/>
                <w:color w:val="000000"/>
                <w:sz w:val="18"/>
                <w:szCs w:val="18"/>
              </w:rPr>
            </w:pPr>
            <w:hyperlink r:id="rId10" w:history="1">
              <w:r w:rsidR="00881A1F" w:rsidRPr="00881A1F">
                <w:rPr>
                  <w:rFonts w:ascii="Verdana" w:eastAsia="Times New Roman" w:hAnsi="Verdana" w:cs="Times New Roman"/>
                  <w:b/>
                  <w:bCs/>
                  <w:color w:val="4A006E"/>
                  <w:sz w:val="18"/>
                  <w:szCs w:val="18"/>
                  <w:u w:val="single"/>
                </w:rPr>
                <w:t>Standard 2</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1A1F" w:rsidRPr="00881A1F" w:rsidRDefault="00881A1F" w:rsidP="00881A1F">
            <w:pPr>
              <w:spacing w:after="0" w:line="240" w:lineRule="auto"/>
              <w:rPr>
                <w:rFonts w:ascii="Verdana" w:eastAsia="Times New Roman" w:hAnsi="Verdana" w:cs="Times New Roman"/>
                <w:color w:val="000000"/>
                <w:sz w:val="18"/>
                <w:szCs w:val="18"/>
              </w:rPr>
            </w:pPr>
            <w:r w:rsidRPr="00881A1F">
              <w:rPr>
                <w:rFonts w:ascii="Verdana" w:eastAsia="Times New Roman" w:hAnsi="Verdana" w:cs="Times New Roman"/>
                <w:color w:val="000000"/>
                <w:sz w:val="18"/>
                <w:szCs w:val="18"/>
              </w:rPr>
              <w:t>Students will analyze the influence of family, peers, culture, media, technology, and other factors on health behaviors.</w:t>
            </w:r>
          </w:p>
        </w:tc>
      </w:tr>
      <w:tr w:rsidR="00881A1F" w:rsidRPr="00881A1F" w:rsidTr="00881A1F">
        <w:tc>
          <w:tcPr>
            <w:tcW w:w="0" w:type="auto"/>
            <w:tcBorders>
              <w:top w:val="single" w:sz="6" w:space="0" w:color="000000"/>
              <w:left w:val="single" w:sz="6" w:space="0" w:color="000000"/>
              <w:bottom w:val="single" w:sz="6" w:space="0" w:color="000000"/>
              <w:right w:val="single" w:sz="6" w:space="0" w:color="000000"/>
            </w:tcBorders>
            <w:shd w:val="clear" w:color="auto" w:fill="F3F2F9"/>
            <w:noWrap/>
            <w:hideMark/>
          </w:tcPr>
          <w:p w:rsidR="00881A1F" w:rsidRPr="00881A1F" w:rsidRDefault="00990C01" w:rsidP="00881A1F">
            <w:pPr>
              <w:spacing w:after="0" w:line="240" w:lineRule="auto"/>
              <w:jc w:val="center"/>
              <w:rPr>
                <w:rFonts w:ascii="Verdana" w:eastAsia="Times New Roman" w:hAnsi="Verdana" w:cs="Times New Roman"/>
                <w:b/>
                <w:bCs/>
                <w:color w:val="000000"/>
                <w:sz w:val="18"/>
                <w:szCs w:val="18"/>
              </w:rPr>
            </w:pPr>
            <w:hyperlink r:id="rId11" w:history="1">
              <w:r w:rsidR="00881A1F" w:rsidRPr="00881A1F">
                <w:rPr>
                  <w:rFonts w:ascii="Verdana" w:eastAsia="Times New Roman" w:hAnsi="Verdana" w:cs="Times New Roman"/>
                  <w:b/>
                  <w:bCs/>
                  <w:color w:val="4A006E"/>
                  <w:sz w:val="18"/>
                  <w:szCs w:val="18"/>
                  <w:u w:val="single"/>
                </w:rPr>
                <w:t>Standard 3</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1A1F" w:rsidRPr="00881A1F" w:rsidRDefault="00881A1F" w:rsidP="00881A1F">
            <w:pPr>
              <w:spacing w:after="0" w:line="240" w:lineRule="auto"/>
              <w:rPr>
                <w:rFonts w:ascii="Verdana" w:eastAsia="Times New Roman" w:hAnsi="Verdana" w:cs="Times New Roman"/>
                <w:color w:val="000000"/>
                <w:sz w:val="18"/>
                <w:szCs w:val="18"/>
              </w:rPr>
            </w:pPr>
            <w:r w:rsidRPr="00881A1F">
              <w:rPr>
                <w:rFonts w:ascii="Verdana" w:eastAsia="Times New Roman" w:hAnsi="Verdana" w:cs="Times New Roman"/>
                <w:color w:val="000000"/>
                <w:sz w:val="18"/>
                <w:szCs w:val="18"/>
              </w:rPr>
              <w:t>Students will demonstrate the ability to access valid information, products, and services to enhance health.</w:t>
            </w:r>
          </w:p>
        </w:tc>
      </w:tr>
      <w:tr w:rsidR="00881A1F" w:rsidRPr="00881A1F" w:rsidTr="00881A1F">
        <w:tc>
          <w:tcPr>
            <w:tcW w:w="0" w:type="auto"/>
            <w:tcBorders>
              <w:top w:val="single" w:sz="6" w:space="0" w:color="000000"/>
              <w:left w:val="single" w:sz="6" w:space="0" w:color="000000"/>
              <w:bottom w:val="single" w:sz="6" w:space="0" w:color="000000"/>
              <w:right w:val="single" w:sz="6" w:space="0" w:color="000000"/>
            </w:tcBorders>
            <w:shd w:val="clear" w:color="auto" w:fill="F3F2F9"/>
            <w:noWrap/>
            <w:hideMark/>
          </w:tcPr>
          <w:p w:rsidR="00881A1F" w:rsidRPr="00881A1F" w:rsidRDefault="00990C01" w:rsidP="00881A1F">
            <w:pPr>
              <w:spacing w:after="0" w:line="240" w:lineRule="auto"/>
              <w:jc w:val="center"/>
              <w:rPr>
                <w:rFonts w:ascii="Verdana" w:eastAsia="Times New Roman" w:hAnsi="Verdana" w:cs="Times New Roman"/>
                <w:b/>
                <w:bCs/>
                <w:color w:val="000000"/>
                <w:sz w:val="18"/>
                <w:szCs w:val="18"/>
              </w:rPr>
            </w:pPr>
            <w:hyperlink r:id="rId12" w:history="1">
              <w:r w:rsidR="00881A1F" w:rsidRPr="00881A1F">
                <w:rPr>
                  <w:rFonts w:ascii="Verdana" w:eastAsia="Times New Roman" w:hAnsi="Verdana" w:cs="Times New Roman"/>
                  <w:b/>
                  <w:bCs/>
                  <w:color w:val="4A006E"/>
                  <w:sz w:val="18"/>
                  <w:szCs w:val="18"/>
                  <w:u w:val="single"/>
                </w:rPr>
                <w:t>Standard 4</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1A1F" w:rsidRPr="00881A1F" w:rsidRDefault="00881A1F" w:rsidP="00881A1F">
            <w:pPr>
              <w:spacing w:after="0" w:line="240" w:lineRule="auto"/>
              <w:rPr>
                <w:rFonts w:ascii="Verdana" w:eastAsia="Times New Roman" w:hAnsi="Verdana" w:cs="Times New Roman"/>
                <w:color w:val="000000"/>
                <w:sz w:val="18"/>
                <w:szCs w:val="18"/>
              </w:rPr>
            </w:pPr>
            <w:r w:rsidRPr="00881A1F">
              <w:rPr>
                <w:rFonts w:ascii="Verdana" w:eastAsia="Times New Roman" w:hAnsi="Verdana" w:cs="Times New Roman"/>
                <w:color w:val="000000"/>
                <w:sz w:val="18"/>
                <w:szCs w:val="18"/>
              </w:rPr>
              <w:t>Students will demonstrate the ability to use interpersonal communication skills to enhance health and avoid or reduce health risks.</w:t>
            </w:r>
          </w:p>
        </w:tc>
      </w:tr>
      <w:tr w:rsidR="00881A1F" w:rsidRPr="00881A1F" w:rsidTr="00881A1F">
        <w:tc>
          <w:tcPr>
            <w:tcW w:w="0" w:type="auto"/>
            <w:tcBorders>
              <w:top w:val="single" w:sz="6" w:space="0" w:color="000000"/>
              <w:left w:val="single" w:sz="6" w:space="0" w:color="000000"/>
              <w:bottom w:val="single" w:sz="6" w:space="0" w:color="000000"/>
              <w:right w:val="single" w:sz="6" w:space="0" w:color="000000"/>
            </w:tcBorders>
            <w:shd w:val="clear" w:color="auto" w:fill="F3F2F9"/>
            <w:noWrap/>
            <w:hideMark/>
          </w:tcPr>
          <w:p w:rsidR="00881A1F" w:rsidRPr="00881A1F" w:rsidRDefault="00990C01" w:rsidP="00881A1F">
            <w:pPr>
              <w:spacing w:after="0" w:line="240" w:lineRule="auto"/>
              <w:jc w:val="center"/>
              <w:rPr>
                <w:rFonts w:ascii="Verdana" w:eastAsia="Times New Roman" w:hAnsi="Verdana" w:cs="Times New Roman"/>
                <w:b/>
                <w:bCs/>
                <w:color w:val="000000"/>
                <w:sz w:val="18"/>
                <w:szCs w:val="18"/>
              </w:rPr>
            </w:pPr>
            <w:hyperlink r:id="rId13" w:history="1">
              <w:r w:rsidR="00881A1F" w:rsidRPr="00881A1F">
                <w:rPr>
                  <w:rFonts w:ascii="Verdana" w:eastAsia="Times New Roman" w:hAnsi="Verdana" w:cs="Times New Roman"/>
                  <w:b/>
                  <w:bCs/>
                  <w:color w:val="4A006E"/>
                  <w:sz w:val="18"/>
                  <w:szCs w:val="18"/>
                  <w:u w:val="single"/>
                </w:rPr>
                <w:t>Standard 5</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1A1F" w:rsidRPr="00881A1F" w:rsidRDefault="00881A1F" w:rsidP="00881A1F">
            <w:pPr>
              <w:spacing w:after="0" w:line="240" w:lineRule="auto"/>
              <w:rPr>
                <w:rFonts w:ascii="Verdana" w:eastAsia="Times New Roman" w:hAnsi="Verdana" w:cs="Times New Roman"/>
                <w:color w:val="000000"/>
                <w:sz w:val="18"/>
                <w:szCs w:val="18"/>
              </w:rPr>
            </w:pPr>
            <w:r w:rsidRPr="00881A1F">
              <w:rPr>
                <w:rFonts w:ascii="Verdana" w:eastAsia="Times New Roman" w:hAnsi="Verdana" w:cs="Times New Roman"/>
                <w:color w:val="000000"/>
                <w:sz w:val="18"/>
                <w:szCs w:val="18"/>
              </w:rPr>
              <w:t>Students will demonstrate the ability to use decision-making skills to enhance health.</w:t>
            </w:r>
          </w:p>
        </w:tc>
      </w:tr>
      <w:tr w:rsidR="00881A1F" w:rsidRPr="00881A1F" w:rsidTr="00881A1F">
        <w:tc>
          <w:tcPr>
            <w:tcW w:w="0" w:type="auto"/>
            <w:tcBorders>
              <w:top w:val="single" w:sz="6" w:space="0" w:color="000000"/>
              <w:left w:val="single" w:sz="6" w:space="0" w:color="000000"/>
              <w:bottom w:val="single" w:sz="6" w:space="0" w:color="000000"/>
              <w:right w:val="single" w:sz="6" w:space="0" w:color="000000"/>
            </w:tcBorders>
            <w:shd w:val="clear" w:color="auto" w:fill="F3F2F9"/>
            <w:noWrap/>
            <w:hideMark/>
          </w:tcPr>
          <w:p w:rsidR="00881A1F" w:rsidRPr="00881A1F" w:rsidRDefault="00990C01" w:rsidP="00881A1F">
            <w:pPr>
              <w:spacing w:after="0" w:line="240" w:lineRule="auto"/>
              <w:jc w:val="center"/>
              <w:rPr>
                <w:rFonts w:ascii="Verdana" w:eastAsia="Times New Roman" w:hAnsi="Verdana" w:cs="Times New Roman"/>
                <w:b/>
                <w:bCs/>
                <w:color w:val="000000"/>
                <w:sz w:val="18"/>
                <w:szCs w:val="18"/>
              </w:rPr>
            </w:pPr>
            <w:hyperlink r:id="rId14" w:history="1">
              <w:r w:rsidR="00881A1F" w:rsidRPr="00881A1F">
                <w:rPr>
                  <w:rFonts w:ascii="Verdana" w:eastAsia="Times New Roman" w:hAnsi="Verdana" w:cs="Times New Roman"/>
                  <w:b/>
                  <w:bCs/>
                  <w:color w:val="4A006E"/>
                  <w:sz w:val="18"/>
                  <w:szCs w:val="18"/>
                  <w:u w:val="single"/>
                </w:rPr>
                <w:t>Standard 6</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1A1F" w:rsidRPr="00881A1F" w:rsidRDefault="00881A1F" w:rsidP="00881A1F">
            <w:pPr>
              <w:spacing w:after="0" w:line="240" w:lineRule="auto"/>
              <w:rPr>
                <w:rFonts w:ascii="Verdana" w:eastAsia="Times New Roman" w:hAnsi="Verdana" w:cs="Times New Roman"/>
                <w:color w:val="000000"/>
                <w:sz w:val="18"/>
                <w:szCs w:val="18"/>
              </w:rPr>
            </w:pPr>
            <w:r w:rsidRPr="00881A1F">
              <w:rPr>
                <w:rFonts w:ascii="Verdana" w:eastAsia="Times New Roman" w:hAnsi="Verdana" w:cs="Times New Roman"/>
                <w:color w:val="000000"/>
                <w:sz w:val="18"/>
                <w:szCs w:val="18"/>
              </w:rPr>
              <w:t>Students will demonstrate the ability to use goal-setting skills to enhance health.</w:t>
            </w:r>
          </w:p>
        </w:tc>
      </w:tr>
      <w:tr w:rsidR="00881A1F" w:rsidRPr="00881A1F" w:rsidTr="00881A1F">
        <w:tc>
          <w:tcPr>
            <w:tcW w:w="0" w:type="auto"/>
            <w:tcBorders>
              <w:top w:val="single" w:sz="6" w:space="0" w:color="000000"/>
              <w:left w:val="single" w:sz="6" w:space="0" w:color="000000"/>
              <w:bottom w:val="single" w:sz="6" w:space="0" w:color="000000"/>
              <w:right w:val="single" w:sz="6" w:space="0" w:color="000000"/>
            </w:tcBorders>
            <w:shd w:val="clear" w:color="auto" w:fill="F3F2F9"/>
            <w:noWrap/>
            <w:hideMark/>
          </w:tcPr>
          <w:p w:rsidR="00881A1F" w:rsidRPr="00881A1F" w:rsidRDefault="00990C01" w:rsidP="00881A1F">
            <w:pPr>
              <w:spacing w:after="0" w:line="240" w:lineRule="auto"/>
              <w:jc w:val="center"/>
              <w:rPr>
                <w:rFonts w:ascii="Verdana" w:eastAsia="Times New Roman" w:hAnsi="Verdana" w:cs="Times New Roman"/>
                <w:b/>
                <w:bCs/>
                <w:color w:val="000000"/>
                <w:sz w:val="18"/>
                <w:szCs w:val="18"/>
              </w:rPr>
            </w:pPr>
            <w:hyperlink r:id="rId15" w:history="1">
              <w:r w:rsidR="00881A1F" w:rsidRPr="00881A1F">
                <w:rPr>
                  <w:rFonts w:ascii="Verdana" w:eastAsia="Times New Roman" w:hAnsi="Verdana" w:cs="Times New Roman"/>
                  <w:b/>
                  <w:bCs/>
                  <w:color w:val="4A006E"/>
                  <w:sz w:val="18"/>
                  <w:szCs w:val="18"/>
                  <w:u w:val="single"/>
                </w:rPr>
                <w:t>Standard 7</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1A1F" w:rsidRPr="00881A1F" w:rsidRDefault="00881A1F" w:rsidP="00881A1F">
            <w:pPr>
              <w:spacing w:after="0" w:line="240" w:lineRule="auto"/>
              <w:rPr>
                <w:rFonts w:ascii="Verdana" w:eastAsia="Times New Roman" w:hAnsi="Verdana" w:cs="Times New Roman"/>
                <w:color w:val="000000"/>
                <w:sz w:val="18"/>
                <w:szCs w:val="18"/>
              </w:rPr>
            </w:pPr>
            <w:r w:rsidRPr="00881A1F">
              <w:rPr>
                <w:rFonts w:ascii="Verdana" w:eastAsia="Times New Roman" w:hAnsi="Verdana" w:cs="Times New Roman"/>
                <w:color w:val="000000"/>
                <w:sz w:val="18"/>
                <w:szCs w:val="18"/>
              </w:rPr>
              <w:t>Students will demonstrate the ability to practice health-enhancing behaviors and avoid or reduce health risks.</w:t>
            </w:r>
          </w:p>
        </w:tc>
      </w:tr>
      <w:tr w:rsidR="00881A1F" w:rsidRPr="00881A1F" w:rsidTr="00881A1F">
        <w:tc>
          <w:tcPr>
            <w:tcW w:w="0" w:type="auto"/>
            <w:tcBorders>
              <w:top w:val="single" w:sz="6" w:space="0" w:color="000000"/>
              <w:left w:val="single" w:sz="6" w:space="0" w:color="000000"/>
              <w:bottom w:val="single" w:sz="6" w:space="0" w:color="000000"/>
              <w:right w:val="single" w:sz="6" w:space="0" w:color="000000"/>
            </w:tcBorders>
            <w:shd w:val="clear" w:color="auto" w:fill="F3F2F9"/>
            <w:noWrap/>
            <w:hideMark/>
          </w:tcPr>
          <w:p w:rsidR="00881A1F" w:rsidRPr="00881A1F" w:rsidRDefault="00990C01" w:rsidP="00881A1F">
            <w:pPr>
              <w:spacing w:after="0" w:line="240" w:lineRule="auto"/>
              <w:jc w:val="center"/>
              <w:rPr>
                <w:rFonts w:ascii="Verdana" w:eastAsia="Times New Roman" w:hAnsi="Verdana" w:cs="Times New Roman"/>
                <w:b/>
                <w:bCs/>
                <w:color w:val="000000"/>
                <w:sz w:val="18"/>
                <w:szCs w:val="18"/>
              </w:rPr>
            </w:pPr>
            <w:hyperlink r:id="rId16" w:history="1">
              <w:r w:rsidR="00881A1F" w:rsidRPr="00881A1F">
                <w:rPr>
                  <w:rFonts w:ascii="Verdana" w:eastAsia="Times New Roman" w:hAnsi="Verdana" w:cs="Times New Roman"/>
                  <w:b/>
                  <w:bCs/>
                  <w:color w:val="4A006E"/>
                  <w:sz w:val="18"/>
                  <w:szCs w:val="18"/>
                  <w:u w:val="single"/>
                </w:rPr>
                <w:t>Standard 8</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81A1F" w:rsidRPr="00881A1F" w:rsidRDefault="00881A1F" w:rsidP="00881A1F">
            <w:pPr>
              <w:spacing w:after="0" w:line="240" w:lineRule="auto"/>
              <w:rPr>
                <w:rFonts w:ascii="Verdana" w:eastAsia="Times New Roman" w:hAnsi="Verdana" w:cs="Times New Roman"/>
                <w:color w:val="000000"/>
                <w:sz w:val="18"/>
                <w:szCs w:val="18"/>
              </w:rPr>
            </w:pPr>
            <w:r w:rsidRPr="00881A1F">
              <w:rPr>
                <w:rFonts w:ascii="Verdana" w:eastAsia="Times New Roman" w:hAnsi="Verdana" w:cs="Times New Roman"/>
                <w:color w:val="000000"/>
                <w:sz w:val="18"/>
                <w:szCs w:val="18"/>
              </w:rPr>
              <w:t>Students will demonstrate the ability to advocate for personal, family, and community health.</w:t>
            </w:r>
          </w:p>
        </w:tc>
      </w:tr>
    </w:tbl>
    <w:p w:rsidR="008232D0" w:rsidRPr="00471FD5" w:rsidRDefault="004270F9" w:rsidP="00471FD5">
      <w:pPr>
        <w:rPr>
          <w:sz w:val="24"/>
        </w:rPr>
      </w:pPr>
      <w:r>
        <w:rPr>
          <w:b/>
          <w:sz w:val="24"/>
        </w:rPr>
        <w:br/>
      </w:r>
      <w:r w:rsidR="00881A1F" w:rsidRPr="002F6E0C">
        <w:rPr>
          <w:b/>
          <w:sz w:val="24"/>
        </w:rPr>
        <w:t>Student Targets</w:t>
      </w:r>
      <w:r w:rsidR="008232D0">
        <w:rPr>
          <w:sz w:val="24"/>
        </w:rPr>
        <w:t>:</w:t>
      </w:r>
      <w:r w:rsidR="007F1997">
        <w:rPr>
          <w:sz w:val="24"/>
        </w:rPr>
        <w:t xml:space="preserve">  By the end of this course, students will be able to…</w:t>
      </w:r>
    </w:p>
    <w:tbl>
      <w:tblPr>
        <w:tblStyle w:val="TableGrid"/>
        <w:tblW w:w="9900" w:type="dxa"/>
        <w:tblInd w:w="-162" w:type="dxa"/>
        <w:tblLayout w:type="fixed"/>
        <w:tblLook w:val="04A0" w:firstRow="1" w:lastRow="0" w:firstColumn="1" w:lastColumn="0" w:noHBand="0" w:noVBand="1"/>
      </w:tblPr>
      <w:tblGrid>
        <w:gridCol w:w="990"/>
        <w:gridCol w:w="7470"/>
        <w:gridCol w:w="1440"/>
      </w:tblGrid>
      <w:tr w:rsidR="008232D0" w:rsidTr="00B456D7">
        <w:tc>
          <w:tcPr>
            <w:tcW w:w="990" w:type="dxa"/>
            <w:shd w:val="clear" w:color="auto" w:fill="C4BC96" w:themeFill="background2" w:themeFillShade="BF"/>
          </w:tcPr>
          <w:p w:rsidR="008232D0" w:rsidRPr="00C54CD3" w:rsidRDefault="008232D0" w:rsidP="00344449">
            <w:pPr>
              <w:pStyle w:val="NoSpacing"/>
              <w:rPr>
                <w:b/>
                <w:sz w:val="24"/>
              </w:rPr>
            </w:pPr>
            <w:r w:rsidRPr="00C54CD3">
              <w:rPr>
                <w:b/>
                <w:sz w:val="24"/>
              </w:rPr>
              <w:t>Unit</w:t>
            </w:r>
          </w:p>
        </w:tc>
        <w:tc>
          <w:tcPr>
            <w:tcW w:w="7470" w:type="dxa"/>
            <w:shd w:val="clear" w:color="auto" w:fill="C4BC96" w:themeFill="background2" w:themeFillShade="BF"/>
          </w:tcPr>
          <w:p w:rsidR="008232D0" w:rsidRPr="00C54CD3" w:rsidRDefault="008232D0" w:rsidP="00344449">
            <w:pPr>
              <w:pStyle w:val="NoSpacing"/>
              <w:rPr>
                <w:b/>
                <w:sz w:val="24"/>
              </w:rPr>
            </w:pPr>
            <w:r w:rsidRPr="00C54CD3">
              <w:rPr>
                <w:b/>
                <w:sz w:val="24"/>
              </w:rPr>
              <w:t>Targets</w:t>
            </w:r>
          </w:p>
        </w:tc>
        <w:tc>
          <w:tcPr>
            <w:tcW w:w="1440" w:type="dxa"/>
            <w:shd w:val="clear" w:color="auto" w:fill="C4BC96" w:themeFill="background2" w:themeFillShade="BF"/>
          </w:tcPr>
          <w:p w:rsidR="008232D0" w:rsidRPr="00C54CD3" w:rsidRDefault="008232D0" w:rsidP="00344449">
            <w:pPr>
              <w:pStyle w:val="NoSpacing"/>
              <w:jc w:val="center"/>
              <w:rPr>
                <w:b/>
                <w:sz w:val="24"/>
              </w:rPr>
            </w:pPr>
            <w:r>
              <w:rPr>
                <w:b/>
                <w:sz w:val="24"/>
              </w:rPr>
              <w:t>Summative</w:t>
            </w:r>
          </w:p>
        </w:tc>
      </w:tr>
      <w:tr w:rsidR="004270F9" w:rsidTr="00A61EDD">
        <w:trPr>
          <w:trHeight w:val="368"/>
        </w:trPr>
        <w:tc>
          <w:tcPr>
            <w:tcW w:w="990" w:type="dxa"/>
            <w:vMerge w:val="restart"/>
            <w:shd w:val="clear" w:color="auto" w:fill="DDD9C3" w:themeFill="background2" w:themeFillShade="E6"/>
            <w:textDirection w:val="btLr"/>
            <w:vAlign w:val="center"/>
          </w:tcPr>
          <w:p w:rsidR="004270F9" w:rsidRPr="00C54CD3" w:rsidRDefault="004270F9" w:rsidP="00344449">
            <w:pPr>
              <w:pStyle w:val="NoSpacing"/>
              <w:ind w:left="113" w:right="113"/>
              <w:jc w:val="center"/>
              <w:rPr>
                <w:szCs w:val="20"/>
              </w:rPr>
            </w:pPr>
            <w:r>
              <w:rPr>
                <w:szCs w:val="20"/>
              </w:rPr>
              <w:t>Leading a Healthy Life</w:t>
            </w:r>
          </w:p>
        </w:tc>
        <w:tc>
          <w:tcPr>
            <w:tcW w:w="7470" w:type="dxa"/>
          </w:tcPr>
          <w:p w:rsidR="004270F9" w:rsidRPr="00C54CD3" w:rsidRDefault="004270F9" w:rsidP="004270F9">
            <w:pPr>
              <w:pStyle w:val="NoSpacing"/>
              <w:rPr>
                <w:szCs w:val="20"/>
              </w:rPr>
            </w:pPr>
            <w:r>
              <w:rPr>
                <w:szCs w:val="20"/>
              </w:rPr>
              <w:t>-I can list and describe each of the six components of health</w:t>
            </w:r>
          </w:p>
        </w:tc>
        <w:tc>
          <w:tcPr>
            <w:tcW w:w="1440" w:type="dxa"/>
            <w:vMerge w:val="restart"/>
            <w:shd w:val="clear" w:color="auto" w:fill="DDD9C3" w:themeFill="background2" w:themeFillShade="E6"/>
            <w:vAlign w:val="center"/>
          </w:tcPr>
          <w:p w:rsidR="004270F9" w:rsidRPr="00C54CD3" w:rsidRDefault="004270F9" w:rsidP="00344449">
            <w:pPr>
              <w:pStyle w:val="NoSpacing"/>
              <w:jc w:val="center"/>
              <w:rPr>
                <w:szCs w:val="20"/>
              </w:rPr>
            </w:pPr>
            <w:r>
              <w:rPr>
                <w:szCs w:val="20"/>
              </w:rPr>
              <w:t>Health Risk Factor Survey &amp; Reflections</w:t>
            </w:r>
          </w:p>
        </w:tc>
      </w:tr>
      <w:tr w:rsidR="004270F9" w:rsidTr="00A61EDD">
        <w:trPr>
          <w:trHeight w:val="350"/>
        </w:trPr>
        <w:tc>
          <w:tcPr>
            <w:tcW w:w="990" w:type="dxa"/>
            <w:vMerge/>
            <w:shd w:val="clear" w:color="auto" w:fill="DDD9C3" w:themeFill="background2" w:themeFillShade="E6"/>
          </w:tcPr>
          <w:p w:rsidR="004270F9" w:rsidRPr="00C54CD3" w:rsidRDefault="004270F9" w:rsidP="00344449">
            <w:pPr>
              <w:pStyle w:val="NoSpacing"/>
              <w:rPr>
                <w:szCs w:val="20"/>
              </w:rPr>
            </w:pPr>
          </w:p>
        </w:tc>
        <w:tc>
          <w:tcPr>
            <w:tcW w:w="7470" w:type="dxa"/>
          </w:tcPr>
          <w:p w:rsidR="004270F9" w:rsidRPr="00C54CD3" w:rsidRDefault="004270F9" w:rsidP="004270F9">
            <w:pPr>
              <w:pStyle w:val="NoSpacing"/>
              <w:rPr>
                <w:szCs w:val="20"/>
              </w:rPr>
            </w:pPr>
            <w:r>
              <w:rPr>
                <w:szCs w:val="20"/>
              </w:rPr>
              <w:t>-I can define health risk factor and provide examples along with ways to avoid or reduce the risk associated with each</w:t>
            </w:r>
          </w:p>
        </w:tc>
        <w:tc>
          <w:tcPr>
            <w:tcW w:w="1440" w:type="dxa"/>
            <w:vMerge/>
            <w:shd w:val="clear" w:color="auto" w:fill="DDD9C3" w:themeFill="background2" w:themeFillShade="E6"/>
          </w:tcPr>
          <w:p w:rsidR="004270F9" w:rsidRPr="00C54CD3" w:rsidRDefault="004270F9" w:rsidP="00344449">
            <w:pPr>
              <w:pStyle w:val="NoSpacing"/>
              <w:rPr>
                <w:szCs w:val="20"/>
              </w:rPr>
            </w:pPr>
          </w:p>
        </w:tc>
      </w:tr>
      <w:tr w:rsidR="004270F9" w:rsidTr="00B456D7">
        <w:tc>
          <w:tcPr>
            <w:tcW w:w="990" w:type="dxa"/>
            <w:vMerge/>
            <w:shd w:val="clear" w:color="auto" w:fill="DDD9C3" w:themeFill="background2" w:themeFillShade="E6"/>
          </w:tcPr>
          <w:p w:rsidR="004270F9" w:rsidRPr="00C54CD3" w:rsidRDefault="004270F9" w:rsidP="00344449">
            <w:pPr>
              <w:pStyle w:val="NoSpacing"/>
              <w:rPr>
                <w:szCs w:val="20"/>
              </w:rPr>
            </w:pPr>
          </w:p>
        </w:tc>
        <w:tc>
          <w:tcPr>
            <w:tcW w:w="7470" w:type="dxa"/>
          </w:tcPr>
          <w:p w:rsidR="004270F9" w:rsidRPr="00C54CD3" w:rsidRDefault="004270F9" w:rsidP="004270F9">
            <w:pPr>
              <w:pStyle w:val="NoSpacing"/>
              <w:rPr>
                <w:szCs w:val="20"/>
              </w:rPr>
            </w:pPr>
            <w:r>
              <w:rPr>
                <w:szCs w:val="20"/>
              </w:rPr>
              <w:t>-I can define health and wellness and explain how they are different, and how they each relate to the 6 components of health</w:t>
            </w:r>
          </w:p>
        </w:tc>
        <w:tc>
          <w:tcPr>
            <w:tcW w:w="1440" w:type="dxa"/>
            <w:vMerge/>
            <w:shd w:val="clear" w:color="auto" w:fill="DDD9C3" w:themeFill="background2" w:themeFillShade="E6"/>
          </w:tcPr>
          <w:p w:rsidR="004270F9" w:rsidRPr="00C54CD3" w:rsidRDefault="004270F9" w:rsidP="00344449">
            <w:pPr>
              <w:pStyle w:val="NoSpacing"/>
              <w:rPr>
                <w:szCs w:val="20"/>
              </w:rPr>
            </w:pPr>
          </w:p>
        </w:tc>
      </w:tr>
      <w:tr w:rsidR="004270F9" w:rsidTr="00B456D7">
        <w:tc>
          <w:tcPr>
            <w:tcW w:w="990" w:type="dxa"/>
            <w:vMerge/>
            <w:shd w:val="clear" w:color="auto" w:fill="DDD9C3" w:themeFill="background2" w:themeFillShade="E6"/>
          </w:tcPr>
          <w:p w:rsidR="004270F9" w:rsidRPr="00C54CD3" w:rsidRDefault="004270F9" w:rsidP="00344449">
            <w:pPr>
              <w:pStyle w:val="NoSpacing"/>
              <w:rPr>
                <w:szCs w:val="20"/>
              </w:rPr>
            </w:pPr>
          </w:p>
        </w:tc>
        <w:tc>
          <w:tcPr>
            <w:tcW w:w="7470" w:type="dxa"/>
          </w:tcPr>
          <w:p w:rsidR="004270F9" w:rsidRDefault="004270F9" w:rsidP="004270F9">
            <w:pPr>
              <w:pStyle w:val="NoSpacing"/>
              <w:rPr>
                <w:szCs w:val="20"/>
              </w:rPr>
            </w:pPr>
            <w:r>
              <w:rPr>
                <w:szCs w:val="20"/>
              </w:rPr>
              <w:t>-I can evaluate my own health practices and behaviors to determine my strengths and weaknesses in each area of health.</w:t>
            </w:r>
          </w:p>
        </w:tc>
        <w:tc>
          <w:tcPr>
            <w:tcW w:w="1440" w:type="dxa"/>
            <w:vMerge/>
            <w:shd w:val="clear" w:color="auto" w:fill="DDD9C3" w:themeFill="background2" w:themeFillShade="E6"/>
          </w:tcPr>
          <w:p w:rsidR="004270F9" w:rsidRPr="00C54CD3" w:rsidRDefault="004270F9" w:rsidP="00344449">
            <w:pPr>
              <w:pStyle w:val="NoSpacing"/>
              <w:rPr>
                <w:szCs w:val="20"/>
              </w:rPr>
            </w:pPr>
          </w:p>
        </w:tc>
      </w:tr>
      <w:tr w:rsidR="00773A91" w:rsidTr="00773A91">
        <w:trPr>
          <w:trHeight w:val="584"/>
        </w:trPr>
        <w:tc>
          <w:tcPr>
            <w:tcW w:w="990" w:type="dxa"/>
            <w:vMerge w:val="restart"/>
            <w:shd w:val="clear" w:color="auto" w:fill="DDD9C3" w:themeFill="background2" w:themeFillShade="E6"/>
            <w:textDirection w:val="btLr"/>
          </w:tcPr>
          <w:p w:rsidR="00773A91" w:rsidRPr="00C54CD3" w:rsidRDefault="00773A91" w:rsidP="004270F9">
            <w:pPr>
              <w:pStyle w:val="NoSpacing"/>
              <w:ind w:left="113" w:right="113"/>
              <w:jc w:val="center"/>
              <w:rPr>
                <w:szCs w:val="20"/>
              </w:rPr>
            </w:pPr>
            <w:r>
              <w:rPr>
                <w:szCs w:val="20"/>
              </w:rPr>
              <w:lastRenderedPageBreak/>
              <w:t>SE/Self-Mgmt./  Communication</w:t>
            </w:r>
          </w:p>
        </w:tc>
        <w:tc>
          <w:tcPr>
            <w:tcW w:w="7470" w:type="dxa"/>
          </w:tcPr>
          <w:p w:rsidR="00773A91" w:rsidRPr="00C54CD3" w:rsidRDefault="00773A91" w:rsidP="00344449">
            <w:pPr>
              <w:pStyle w:val="NoSpacing"/>
              <w:rPr>
                <w:szCs w:val="20"/>
              </w:rPr>
            </w:pPr>
            <w:r>
              <w:rPr>
                <w:szCs w:val="20"/>
              </w:rPr>
              <w:t>-I can demonstrate effective verbal and nonverbal communication skills, stress managements techniques, and compromise versus refusal skills</w:t>
            </w:r>
          </w:p>
        </w:tc>
        <w:tc>
          <w:tcPr>
            <w:tcW w:w="1440" w:type="dxa"/>
            <w:vMerge w:val="restart"/>
            <w:shd w:val="clear" w:color="auto" w:fill="DDD9C3" w:themeFill="background2" w:themeFillShade="E6"/>
            <w:vAlign w:val="center"/>
          </w:tcPr>
          <w:p w:rsidR="00773A91" w:rsidRPr="00C54CD3" w:rsidRDefault="00773A91" w:rsidP="00FF6C2C">
            <w:pPr>
              <w:pStyle w:val="NoSpacing"/>
              <w:jc w:val="center"/>
              <w:rPr>
                <w:szCs w:val="20"/>
              </w:rPr>
            </w:pPr>
            <w:r>
              <w:rPr>
                <w:szCs w:val="20"/>
              </w:rPr>
              <w:t>Scenario Responses and Skit Script</w:t>
            </w:r>
          </w:p>
        </w:tc>
      </w:tr>
      <w:tr w:rsidR="004270F9" w:rsidTr="004270F9">
        <w:trPr>
          <w:trHeight w:val="557"/>
        </w:trPr>
        <w:tc>
          <w:tcPr>
            <w:tcW w:w="990" w:type="dxa"/>
            <w:vMerge/>
            <w:shd w:val="clear" w:color="auto" w:fill="DDD9C3" w:themeFill="background2" w:themeFillShade="E6"/>
          </w:tcPr>
          <w:p w:rsidR="004270F9" w:rsidRPr="00C54CD3" w:rsidRDefault="004270F9" w:rsidP="00344449">
            <w:pPr>
              <w:pStyle w:val="NoSpacing"/>
              <w:rPr>
                <w:szCs w:val="20"/>
              </w:rPr>
            </w:pPr>
          </w:p>
        </w:tc>
        <w:tc>
          <w:tcPr>
            <w:tcW w:w="7470" w:type="dxa"/>
          </w:tcPr>
          <w:p w:rsidR="004270F9" w:rsidRPr="00C54CD3" w:rsidRDefault="004270F9" w:rsidP="00344449">
            <w:pPr>
              <w:pStyle w:val="NoSpacing"/>
              <w:rPr>
                <w:szCs w:val="20"/>
              </w:rPr>
            </w:pPr>
            <w:r>
              <w:rPr>
                <w:szCs w:val="20"/>
              </w:rPr>
              <w:t>-I can advocate for the needs and rights of self and others, for a healthy social environment, and for fairness and resolution to conflict</w:t>
            </w:r>
          </w:p>
        </w:tc>
        <w:tc>
          <w:tcPr>
            <w:tcW w:w="1440" w:type="dxa"/>
            <w:vMerge/>
            <w:shd w:val="clear" w:color="auto" w:fill="DDD9C3" w:themeFill="background2" w:themeFillShade="E6"/>
            <w:vAlign w:val="center"/>
          </w:tcPr>
          <w:p w:rsidR="004270F9" w:rsidRPr="00C54CD3" w:rsidRDefault="004270F9" w:rsidP="00344449">
            <w:pPr>
              <w:pStyle w:val="NoSpacing"/>
              <w:jc w:val="center"/>
              <w:rPr>
                <w:szCs w:val="20"/>
              </w:rPr>
            </w:pPr>
          </w:p>
        </w:tc>
      </w:tr>
      <w:tr w:rsidR="004270F9" w:rsidTr="00773A91">
        <w:trPr>
          <w:trHeight w:val="809"/>
        </w:trPr>
        <w:tc>
          <w:tcPr>
            <w:tcW w:w="990" w:type="dxa"/>
            <w:vMerge/>
            <w:shd w:val="clear" w:color="auto" w:fill="DDD9C3" w:themeFill="background2" w:themeFillShade="E6"/>
          </w:tcPr>
          <w:p w:rsidR="004270F9" w:rsidRPr="00C54CD3" w:rsidRDefault="004270F9" w:rsidP="00344449">
            <w:pPr>
              <w:pStyle w:val="NoSpacing"/>
              <w:rPr>
                <w:szCs w:val="20"/>
              </w:rPr>
            </w:pPr>
          </w:p>
        </w:tc>
        <w:tc>
          <w:tcPr>
            <w:tcW w:w="7470" w:type="dxa"/>
          </w:tcPr>
          <w:p w:rsidR="004270F9" w:rsidRDefault="004270F9" w:rsidP="00344449">
            <w:pPr>
              <w:pStyle w:val="NoSpacing"/>
              <w:rPr>
                <w:szCs w:val="20"/>
              </w:rPr>
            </w:pPr>
            <w:r>
              <w:rPr>
                <w:szCs w:val="20"/>
              </w:rPr>
              <w:t xml:space="preserve">-I can define self-esteem and explain benefits of a high self-esteem, and risks of a low self-esteem, as well as a variety of ways to improve self-esteem </w:t>
            </w:r>
            <w:r w:rsidR="00773A91">
              <w:rPr>
                <w:szCs w:val="20"/>
              </w:rPr>
              <w:t>of myself and others</w:t>
            </w:r>
          </w:p>
        </w:tc>
        <w:tc>
          <w:tcPr>
            <w:tcW w:w="1440" w:type="dxa"/>
            <w:vMerge/>
            <w:shd w:val="clear" w:color="auto" w:fill="DDD9C3" w:themeFill="background2" w:themeFillShade="E6"/>
            <w:vAlign w:val="center"/>
          </w:tcPr>
          <w:p w:rsidR="004270F9" w:rsidRPr="00C54CD3" w:rsidRDefault="004270F9" w:rsidP="00344449">
            <w:pPr>
              <w:pStyle w:val="NoSpacing"/>
              <w:jc w:val="center"/>
              <w:rPr>
                <w:szCs w:val="20"/>
              </w:rPr>
            </w:pPr>
          </w:p>
        </w:tc>
      </w:tr>
      <w:tr w:rsidR="00773A91" w:rsidTr="00B456D7">
        <w:trPr>
          <w:cantSplit/>
          <w:trHeight w:val="386"/>
        </w:trPr>
        <w:tc>
          <w:tcPr>
            <w:tcW w:w="990" w:type="dxa"/>
            <w:vMerge w:val="restart"/>
            <w:shd w:val="clear" w:color="auto" w:fill="DDD9C3" w:themeFill="background2" w:themeFillShade="E6"/>
            <w:textDirection w:val="btLr"/>
            <w:vAlign w:val="center"/>
          </w:tcPr>
          <w:p w:rsidR="00773A91" w:rsidRPr="00C54CD3" w:rsidRDefault="00773A91" w:rsidP="00344449">
            <w:pPr>
              <w:pStyle w:val="NoSpacing"/>
              <w:ind w:left="113" w:right="113"/>
              <w:jc w:val="center"/>
              <w:rPr>
                <w:szCs w:val="20"/>
              </w:rPr>
            </w:pPr>
            <w:r>
              <w:rPr>
                <w:szCs w:val="20"/>
              </w:rPr>
              <w:t>Mental/ Emotional Health</w:t>
            </w:r>
          </w:p>
        </w:tc>
        <w:tc>
          <w:tcPr>
            <w:tcW w:w="7470" w:type="dxa"/>
            <w:vAlign w:val="center"/>
          </w:tcPr>
          <w:p w:rsidR="00773A91" w:rsidRPr="00C54CD3" w:rsidRDefault="00773A91" w:rsidP="00773A91">
            <w:pPr>
              <w:pStyle w:val="NoSpacing"/>
              <w:rPr>
                <w:szCs w:val="20"/>
              </w:rPr>
            </w:pPr>
            <w:r>
              <w:rPr>
                <w:szCs w:val="20"/>
              </w:rPr>
              <w:t>-I can define and identify multiple characteristics (including sign/symptoms, prevalence, treatment, etc.) of depression and other mental illnesses</w:t>
            </w:r>
          </w:p>
        </w:tc>
        <w:tc>
          <w:tcPr>
            <w:tcW w:w="1440" w:type="dxa"/>
            <w:vMerge w:val="restart"/>
            <w:shd w:val="clear" w:color="auto" w:fill="DDD9C3" w:themeFill="background2" w:themeFillShade="E6"/>
            <w:vAlign w:val="center"/>
          </w:tcPr>
          <w:p w:rsidR="00773A91" w:rsidRPr="00C54CD3" w:rsidRDefault="00773A91" w:rsidP="00344449">
            <w:pPr>
              <w:pStyle w:val="NoSpacing"/>
              <w:jc w:val="center"/>
              <w:rPr>
                <w:szCs w:val="20"/>
              </w:rPr>
            </w:pPr>
            <w:r>
              <w:rPr>
                <w:szCs w:val="20"/>
              </w:rPr>
              <w:t>Mental Health Disorder Project</w:t>
            </w:r>
          </w:p>
        </w:tc>
      </w:tr>
      <w:tr w:rsidR="00773A91" w:rsidTr="00B456D7">
        <w:trPr>
          <w:cantSplit/>
          <w:trHeight w:val="350"/>
        </w:trPr>
        <w:tc>
          <w:tcPr>
            <w:tcW w:w="990" w:type="dxa"/>
            <w:vMerge/>
            <w:shd w:val="clear" w:color="auto" w:fill="DDD9C3" w:themeFill="background2" w:themeFillShade="E6"/>
            <w:textDirection w:val="btLr"/>
            <w:vAlign w:val="center"/>
          </w:tcPr>
          <w:p w:rsidR="00773A91" w:rsidRDefault="00773A91" w:rsidP="00344449">
            <w:pPr>
              <w:pStyle w:val="NoSpacing"/>
              <w:ind w:left="113" w:right="113"/>
              <w:jc w:val="center"/>
              <w:rPr>
                <w:szCs w:val="20"/>
              </w:rPr>
            </w:pPr>
          </w:p>
        </w:tc>
        <w:tc>
          <w:tcPr>
            <w:tcW w:w="7470" w:type="dxa"/>
            <w:vAlign w:val="center"/>
          </w:tcPr>
          <w:p w:rsidR="00773A91" w:rsidRPr="00C54CD3" w:rsidRDefault="00773A91" w:rsidP="00F50089">
            <w:pPr>
              <w:pStyle w:val="NoSpacing"/>
              <w:rPr>
                <w:szCs w:val="20"/>
              </w:rPr>
            </w:pPr>
            <w:r>
              <w:rPr>
                <w:szCs w:val="20"/>
              </w:rPr>
              <w:t>- I can define ‘stressor’ and identify multiple examples of stressors and their effects on other health components (physical, mental/emotional, social); I can demonstrate health ways to manage or cope with stress</w:t>
            </w:r>
          </w:p>
        </w:tc>
        <w:tc>
          <w:tcPr>
            <w:tcW w:w="1440" w:type="dxa"/>
            <w:vMerge/>
            <w:shd w:val="clear" w:color="auto" w:fill="DDD9C3" w:themeFill="background2" w:themeFillShade="E6"/>
            <w:vAlign w:val="center"/>
          </w:tcPr>
          <w:p w:rsidR="00773A91" w:rsidRDefault="00773A91" w:rsidP="00344449">
            <w:pPr>
              <w:pStyle w:val="NoSpacing"/>
              <w:jc w:val="center"/>
              <w:rPr>
                <w:szCs w:val="20"/>
              </w:rPr>
            </w:pPr>
          </w:p>
        </w:tc>
      </w:tr>
      <w:tr w:rsidR="00773A91" w:rsidTr="00B456D7">
        <w:trPr>
          <w:cantSplit/>
          <w:trHeight w:val="440"/>
        </w:trPr>
        <w:tc>
          <w:tcPr>
            <w:tcW w:w="990" w:type="dxa"/>
            <w:vMerge/>
            <w:shd w:val="clear" w:color="auto" w:fill="DDD9C3" w:themeFill="background2" w:themeFillShade="E6"/>
            <w:textDirection w:val="btLr"/>
            <w:vAlign w:val="center"/>
          </w:tcPr>
          <w:p w:rsidR="00773A91" w:rsidRDefault="00773A91" w:rsidP="00344449">
            <w:pPr>
              <w:pStyle w:val="NoSpacing"/>
              <w:ind w:left="113" w:right="113"/>
              <w:jc w:val="center"/>
              <w:rPr>
                <w:szCs w:val="20"/>
              </w:rPr>
            </w:pPr>
          </w:p>
        </w:tc>
        <w:tc>
          <w:tcPr>
            <w:tcW w:w="7470" w:type="dxa"/>
            <w:vAlign w:val="center"/>
          </w:tcPr>
          <w:p w:rsidR="00773A91" w:rsidRPr="00C54CD3" w:rsidRDefault="00773A91" w:rsidP="00FF6C2C">
            <w:pPr>
              <w:pStyle w:val="NoSpacing"/>
              <w:rPr>
                <w:szCs w:val="20"/>
              </w:rPr>
            </w:pPr>
            <w:r>
              <w:rPr>
                <w:szCs w:val="20"/>
              </w:rPr>
              <w:t>-I can compare &amp; contrast characteristics of eating disorders and their behaviors, while identifying signs/symptoms, behaviors, causes, and treatments of each; I can explain why they are classified as mental health disorders</w:t>
            </w:r>
          </w:p>
        </w:tc>
        <w:tc>
          <w:tcPr>
            <w:tcW w:w="1440" w:type="dxa"/>
            <w:vMerge/>
            <w:shd w:val="clear" w:color="auto" w:fill="DDD9C3" w:themeFill="background2" w:themeFillShade="E6"/>
            <w:vAlign w:val="center"/>
          </w:tcPr>
          <w:p w:rsidR="00773A91" w:rsidRDefault="00773A91" w:rsidP="00344449">
            <w:pPr>
              <w:pStyle w:val="NoSpacing"/>
              <w:jc w:val="center"/>
              <w:rPr>
                <w:szCs w:val="20"/>
              </w:rPr>
            </w:pPr>
          </w:p>
        </w:tc>
      </w:tr>
      <w:tr w:rsidR="00773A91" w:rsidTr="00B456D7">
        <w:trPr>
          <w:cantSplit/>
          <w:trHeight w:val="440"/>
        </w:trPr>
        <w:tc>
          <w:tcPr>
            <w:tcW w:w="990" w:type="dxa"/>
            <w:vMerge/>
            <w:shd w:val="clear" w:color="auto" w:fill="DDD9C3" w:themeFill="background2" w:themeFillShade="E6"/>
            <w:textDirection w:val="btLr"/>
            <w:vAlign w:val="center"/>
          </w:tcPr>
          <w:p w:rsidR="00773A91" w:rsidRDefault="00773A91" w:rsidP="00344449">
            <w:pPr>
              <w:pStyle w:val="NoSpacing"/>
              <w:ind w:left="113" w:right="113"/>
              <w:jc w:val="center"/>
              <w:rPr>
                <w:szCs w:val="20"/>
              </w:rPr>
            </w:pPr>
          </w:p>
        </w:tc>
        <w:tc>
          <w:tcPr>
            <w:tcW w:w="7470" w:type="dxa"/>
            <w:vAlign w:val="center"/>
          </w:tcPr>
          <w:p w:rsidR="00773A91" w:rsidRDefault="00773A91" w:rsidP="00FF6C2C">
            <w:pPr>
              <w:pStyle w:val="NoSpacing"/>
              <w:rPr>
                <w:szCs w:val="20"/>
              </w:rPr>
            </w:pPr>
            <w:r>
              <w:rPr>
                <w:szCs w:val="20"/>
              </w:rPr>
              <w:t>-I can describe various philosophies related to mental health and how each can be useful in assessing one’s own state of mental health and describing individual behaviors.</w:t>
            </w:r>
          </w:p>
        </w:tc>
        <w:tc>
          <w:tcPr>
            <w:tcW w:w="1440" w:type="dxa"/>
            <w:vMerge/>
            <w:shd w:val="clear" w:color="auto" w:fill="DDD9C3" w:themeFill="background2" w:themeFillShade="E6"/>
            <w:vAlign w:val="center"/>
          </w:tcPr>
          <w:p w:rsidR="00773A91" w:rsidRDefault="00773A91" w:rsidP="00344449">
            <w:pPr>
              <w:pStyle w:val="NoSpacing"/>
              <w:jc w:val="center"/>
              <w:rPr>
                <w:szCs w:val="20"/>
              </w:rPr>
            </w:pPr>
          </w:p>
        </w:tc>
      </w:tr>
    </w:tbl>
    <w:tbl>
      <w:tblPr>
        <w:tblStyle w:val="TableGrid"/>
        <w:tblpPr w:leftFromText="180" w:rightFromText="180" w:vertAnchor="text" w:horzAnchor="margin" w:tblpXSpec="center" w:tblpY="501"/>
        <w:tblW w:w="9900" w:type="dxa"/>
        <w:tblLayout w:type="fixed"/>
        <w:tblLook w:val="04A0" w:firstRow="1" w:lastRow="0" w:firstColumn="1" w:lastColumn="0" w:noHBand="0" w:noVBand="1"/>
      </w:tblPr>
      <w:tblGrid>
        <w:gridCol w:w="990"/>
        <w:gridCol w:w="7470"/>
        <w:gridCol w:w="1440"/>
      </w:tblGrid>
      <w:tr w:rsidR="00773A91" w:rsidRPr="00C54CD3" w:rsidTr="00773A91">
        <w:trPr>
          <w:trHeight w:val="422"/>
        </w:trPr>
        <w:tc>
          <w:tcPr>
            <w:tcW w:w="990" w:type="dxa"/>
            <w:vMerge w:val="restart"/>
            <w:shd w:val="clear" w:color="auto" w:fill="DDD9C3" w:themeFill="background2" w:themeFillShade="E6"/>
            <w:textDirection w:val="btLr"/>
            <w:vAlign w:val="center"/>
          </w:tcPr>
          <w:p w:rsidR="00773A91" w:rsidRPr="00C54CD3" w:rsidRDefault="00773A91" w:rsidP="00CC68C6">
            <w:pPr>
              <w:pStyle w:val="NoSpacing"/>
              <w:ind w:left="113" w:right="113"/>
              <w:jc w:val="center"/>
              <w:rPr>
                <w:szCs w:val="20"/>
              </w:rPr>
            </w:pPr>
            <w:r>
              <w:rPr>
                <w:szCs w:val="20"/>
              </w:rPr>
              <w:t>Growth &amp; Dev.: Relationships, Family Life, Parenting, Reproductive Health, HIV/AIDS, STIs</w:t>
            </w:r>
          </w:p>
        </w:tc>
        <w:tc>
          <w:tcPr>
            <w:tcW w:w="7470" w:type="dxa"/>
          </w:tcPr>
          <w:p w:rsidR="00773A91" w:rsidRPr="00C54CD3" w:rsidRDefault="00773A91" w:rsidP="00773A91">
            <w:pPr>
              <w:pStyle w:val="NoSpacing"/>
              <w:rPr>
                <w:szCs w:val="20"/>
              </w:rPr>
            </w:pPr>
            <w:r>
              <w:rPr>
                <w:szCs w:val="20"/>
              </w:rPr>
              <w:t>-List and distinguish the difference between characteristics of healthy and unhealthy relationships</w:t>
            </w:r>
          </w:p>
        </w:tc>
        <w:tc>
          <w:tcPr>
            <w:tcW w:w="1440" w:type="dxa"/>
            <w:vMerge w:val="restart"/>
            <w:shd w:val="clear" w:color="auto" w:fill="DDD9C3" w:themeFill="background2" w:themeFillShade="E6"/>
            <w:vAlign w:val="center"/>
          </w:tcPr>
          <w:p w:rsidR="00773A91" w:rsidRPr="00C54CD3" w:rsidRDefault="00773A91" w:rsidP="00773A91">
            <w:pPr>
              <w:pStyle w:val="NoSpacing"/>
              <w:jc w:val="center"/>
              <w:rPr>
                <w:szCs w:val="20"/>
              </w:rPr>
            </w:pPr>
            <w:r>
              <w:rPr>
                <w:szCs w:val="20"/>
              </w:rPr>
              <w:t>Mini-Poster &amp; Unit Exam</w:t>
            </w:r>
          </w:p>
        </w:tc>
      </w:tr>
      <w:tr w:rsidR="00773A91" w:rsidRPr="00C54CD3" w:rsidTr="00773A91">
        <w:tc>
          <w:tcPr>
            <w:tcW w:w="990" w:type="dxa"/>
            <w:vMerge/>
            <w:shd w:val="clear" w:color="auto" w:fill="DDD9C3" w:themeFill="background2" w:themeFillShade="E6"/>
          </w:tcPr>
          <w:p w:rsidR="00773A91" w:rsidRPr="00C54CD3" w:rsidRDefault="00773A91" w:rsidP="00CC68C6">
            <w:pPr>
              <w:pStyle w:val="NoSpacing"/>
              <w:ind w:left="113" w:right="113"/>
              <w:jc w:val="center"/>
              <w:rPr>
                <w:szCs w:val="20"/>
              </w:rPr>
            </w:pPr>
          </w:p>
        </w:tc>
        <w:tc>
          <w:tcPr>
            <w:tcW w:w="7470" w:type="dxa"/>
          </w:tcPr>
          <w:p w:rsidR="00773A91" w:rsidRPr="00C54CD3" w:rsidRDefault="00773A91" w:rsidP="00773A91">
            <w:pPr>
              <w:pStyle w:val="NoSpacing"/>
              <w:rPr>
                <w:szCs w:val="20"/>
              </w:rPr>
            </w:pPr>
            <w:r>
              <w:rPr>
                <w:szCs w:val="20"/>
              </w:rPr>
              <w:t>-Identify common causes of stress within a family, and effects that each may have on structure and/or circumstance</w:t>
            </w:r>
          </w:p>
        </w:tc>
        <w:tc>
          <w:tcPr>
            <w:tcW w:w="1440" w:type="dxa"/>
            <w:vMerge/>
            <w:shd w:val="clear" w:color="auto" w:fill="DDD9C3" w:themeFill="background2" w:themeFillShade="E6"/>
          </w:tcPr>
          <w:p w:rsidR="00773A91" w:rsidRPr="00C54CD3" w:rsidRDefault="00773A91" w:rsidP="00773A91">
            <w:pPr>
              <w:pStyle w:val="NoSpacing"/>
              <w:rPr>
                <w:szCs w:val="20"/>
              </w:rPr>
            </w:pPr>
          </w:p>
        </w:tc>
      </w:tr>
      <w:tr w:rsidR="00773A91" w:rsidRPr="00C54CD3" w:rsidTr="00773A91">
        <w:tc>
          <w:tcPr>
            <w:tcW w:w="990" w:type="dxa"/>
            <w:vMerge/>
            <w:shd w:val="clear" w:color="auto" w:fill="DDD9C3" w:themeFill="background2" w:themeFillShade="E6"/>
          </w:tcPr>
          <w:p w:rsidR="00773A91" w:rsidRPr="00C54CD3" w:rsidRDefault="00773A91" w:rsidP="00CC68C6">
            <w:pPr>
              <w:pStyle w:val="NoSpacing"/>
              <w:ind w:left="113" w:right="113"/>
              <w:jc w:val="center"/>
              <w:rPr>
                <w:szCs w:val="20"/>
              </w:rPr>
            </w:pPr>
          </w:p>
        </w:tc>
        <w:tc>
          <w:tcPr>
            <w:tcW w:w="7470" w:type="dxa"/>
          </w:tcPr>
          <w:p w:rsidR="00773A91" w:rsidRPr="00C54CD3" w:rsidRDefault="00773A91" w:rsidP="00773A91">
            <w:pPr>
              <w:pStyle w:val="NoSpacing"/>
              <w:rPr>
                <w:szCs w:val="20"/>
              </w:rPr>
            </w:pPr>
            <w:r>
              <w:rPr>
                <w:szCs w:val="20"/>
              </w:rPr>
              <w:t>-List and describe the various family forms that exist and the progression of change within family forms from the mid-1800s to present</w:t>
            </w:r>
          </w:p>
        </w:tc>
        <w:tc>
          <w:tcPr>
            <w:tcW w:w="1440" w:type="dxa"/>
            <w:vMerge/>
            <w:shd w:val="clear" w:color="auto" w:fill="DDD9C3" w:themeFill="background2" w:themeFillShade="E6"/>
          </w:tcPr>
          <w:p w:rsidR="00773A91" w:rsidRPr="00C54CD3" w:rsidRDefault="00773A91" w:rsidP="00773A91">
            <w:pPr>
              <w:pStyle w:val="NoSpacing"/>
              <w:rPr>
                <w:szCs w:val="20"/>
              </w:rPr>
            </w:pPr>
          </w:p>
        </w:tc>
      </w:tr>
      <w:tr w:rsidR="00773A91" w:rsidRPr="00C54CD3" w:rsidTr="00773A91">
        <w:tc>
          <w:tcPr>
            <w:tcW w:w="990" w:type="dxa"/>
            <w:vMerge/>
            <w:shd w:val="clear" w:color="auto" w:fill="DDD9C3" w:themeFill="background2" w:themeFillShade="E6"/>
          </w:tcPr>
          <w:p w:rsidR="00773A91" w:rsidRPr="00C54CD3" w:rsidRDefault="00773A91" w:rsidP="00CC68C6">
            <w:pPr>
              <w:pStyle w:val="NoSpacing"/>
              <w:ind w:left="113" w:right="113"/>
              <w:jc w:val="center"/>
              <w:rPr>
                <w:szCs w:val="20"/>
              </w:rPr>
            </w:pPr>
          </w:p>
        </w:tc>
        <w:tc>
          <w:tcPr>
            <w:tcW w:w="7470" w:type="dxa"/>
          </w:tcPr>
          <w:p w:rsidR="00773A91" w:rsidRPr="00C54CD3" w:rsidRDefault="00773A91" w:rsidP="00773A91">
            <w:pPr>
              <w:pStyle w:val="NoSpacing"/>
              <w:rPr>
                <w:szCs w:val="20"/>
              </w:rPr>
            </w:pPr>
            <w:r>
              <w:rPr>
                <w:szCs w:val="20"/>
              </w:rPr>
              <w:t>-Compare and contrast a variety of parenting styles with at least two supporting facts or details describing each</w:t>
            </w:r>
          </w:p>
        </w:tc>
        <w:tc>
          <w:tcPr>
            <w:tcW w:w="1440" w:type="dxa"/>
            <w:vMerge/>
            <w:shd w:val="clear" w:color="auto" w:fill="DDD9C3" w:themeFill="background2" w:themeFillShade="E6"/>
          </w:tcPr>
          <w:p w:rsidR="00773A91" w:rsidRPr="00C54CD3" w:rsidRDefault="00773A91" w:rsidP="00773A91">
            <w:pPr>
              <w:pStyle w:val="NoSpacing"/>
              <w:rPr>
                <w:szCs w:val="20"/>
              </w:rPr>
            </w:pPr>
          </w:p>
        </w:tc>
      </w:tr>
      <w:tr w:rsidR="00773A91" w:rsidRPr="00C54CD3" w:rsidTr="00773A91">
        <w:tc>
          <w:tcPr>
            <w:tcW w:w="990" w:type="dxa"/>
            <w:vMerge/>
            <w:shd w:val="clear" w:color="auto" w:fill="DDD9C3" w:themeFill="background2" w:themeFillShade="E6"/>
            <w:textDirection w:val="btLr"/>
          </w:tcPr>
          <w:p w:rsidR="00773A91" w:rsidRPr="00C54CD3" w:rsidRDefault="00773A91" w:rsidP="00773A91">
            <w:pPr>
              <w:pStyle w:val="NoSpacing"/>
              <w:ind w:left="113" w:right="113"/>
              <w:jc w:val="center"/>
              <w:rPr>
                <w:szCs w:val="20"/>
              </w:rPr>
            </w:pPr>
          </w:p>
        </w:tc>
        <w:tc>
          <w:tcPr>
            <w:tcW w:w="7470" w:type="dxa"/>
          </w:tcPr>
          <w:p w:rsidR="00773A91" w:rsidRPr="00C54CD3" w:rsidRDefault="00773A91" w:rsidP="00773A91">
            <w:pPr>
              <w:pStyle w:val="NoSpacing"/>
              <w:rPr>
                <w:szCs w:val="20"/>
              </w:rPr>
            </w:pPr>
            <w:r>
              <w:rPr>
                <w:szCs w:val="20"/>
              </w:rPr>
              <w:t>-Properly identify and label the parts of the male and female reproductive anatomy using scientific terminology, and explain reproductive processes</w:t>
            </w:r>
          </w:p>
        </w:tc>
        <w:tc>
          <w:tcPr>
            <w:tcW w:w="1440" w:type="dxa"/>
            <w:vMerge w:val="restart"/>
            <w:shd w:val="clear" w:color="auto" w:fill="DDD9C3" w:themeFill="background2" w:themeFillShade="E6"/>
            <w:vAlign w:val="center"/>
          </w:tcPr>
          <w:p w:rsidR="00773A91" w:rsidRPr="00C54CD3" w:rsidRDefault="00773A91" w:rsidP="00773A91">
            <w:pPr>
              <w:pStyle w:val="NoSpacing"/>
              <w:jc w:val="center"/>
              <w:rPr>
                <w:szCs w:val="20"/>
              </w:rPr>
            </w:pPr>
            <w:r>
              <w:rPr>
                <w:szCs w:val="20"/>
              </w:rPr>
              <w:t>Anatomy and Process ID and Sequencing Assessment; Transmission Simulation Response</w:t>
            </w:r>
          </w:p>
        </w:tc>
      </w:tr>
      <w:tr w:rsidR="00773A91" w:rsidRPr="00C54CD3" w:rsidTr="00773A91">
        <w:tc>
          <w:tcPr>
            <w:tcW w:w="990" w:type="dxa"/>
            <w:vMerge/>
            <w:shd w:val="clear" w:color="auto" w:fill="DDD9C3" w:themeFill="background2" w:themeFillShade="E6"/>
            <w:textDirection w:val="btLr"/>
          </w:tcPr>
          <w:p w:rsidR="00773A91" w:rsidRPr="00C54CD3" w:rsidRDefault="00773A91" w:rsidP="00773A91">
            <w:pPr>
              <w:pStyle w:val="NoSpacing"/>
              <w:ind w:left="113" w:right="113"/>
              <w:jc w:val="center"/>
              <w:rPr>
                <w:szCs w:val="20"/>
              </w:rPr>
            </w:pPr>
          </w:p>
        </w:tc>
        <w:tc>
          <w:tcPr>
            <w:tcW w:w="7470" w:type="dxa"/>
          </w:tcPr>
          <w:p w:rsidR="00773A91" w:rsidRPr="00C54CD3" w:rsidRDefault="00773A91" w:rsidP="00773A91">
            <w:pPr>
              <w:pStyle w:val="NoSpacing"/>
              <w:rPr>
                <w:szCs w:val="20"/>
              </w:rPr>
            </w:pPr>
            <w:r>
              <w:rPr>
                <w:szCs w:val="20"/>
              </w:rPr>
              <w:t>-Identify and explain modes of transmission, signs/symptoms, treatment options, and further health risks of STIs, HIV, &amp; AIDS</w:t>
            </w:r>
          </w:p>
        </w:tc>
        <w:tc>
          <w:tcPr>
            <w:tcW w:w="1440" w:type="dxa"/>
            <w:vMerge/>
            <w:shd w:val="clear" w:color="auto" w:fill="DDD9C3" w:themeFill="background2" w:themeFillShade="E6"/>
            <w:vAlign w:val="center"/>
          </w:tcPr>
          <w:p w:rsidR="00773A91" w:rsidRPr="00C54CD3" w:rsidRDefault="00773A91" w:rsidP="00773A91">
            <w:pPr>
              <w:pStyle w:val="NoSpacing"/>
              <w:jc w:val="center"/>
              <w:rPr>
                <w:szCs w:val="20"/>
              </w:rPr>
            </w:pPr>
          </w:p>
        </w:tc>
      </w:tr>
      <w:tr w:rsidR="00773A91" w:rsidRPr="00C54CD3" w:rsidTr="00773A91">
        <w:tc>
          <w:tcPr>
            <w:tcW w:w="990" w:type="dxa"/>
            <w:vMerge/>
            <w:shd w:val="clear" w:color="auto" w:fill="DDD9C3" w:themeFill="background2" w:themeFillShade="E6"/>
          </w:tcPr>
          <w:p w:rsidR="00773A91" w:rsidRPr="00C54CD3" w:rsidRDefault="00773A91" w:rsidP="00773A91">
            <w:pPr>
              <w:pStyle w:val="NoSpacing"/>
              <w:rPr>
                <w:szCs w:val="20"/>
              </w:rPr>
            </w:pPr>
          </w:p>
        </w:tc>
        <w:tc>
          <w:tcPr>
            <w:tcW w:w="7470" w:type="dxa"/>
          </w:tcPr>
          <w:p w:rsidR="00773A91" w:rsidRPr="00C54CD3" w:rsidRDefault="00773A91" w:rsidP="00773A91">
            <w:pPr>
              <w:pStyle w:val="NoSpacing"/>
              <w:rPr>
                <w:szCs w:val="20"/>
              </w:rPr>
            </w:pPr>
            <w:r>
              <w:rPr>
                <w:szCs w:val="20"/>
              </w:rPr>
              <w:t>-Evaluate the overall health benefits of abstinence and demonstrate refusal skills for engaging in risky behaviors</w:t>
            </w:r>
          </w:p>
        </w:tc>
        <w:tc>
          <w:tcPr>
            <w:tcW w:w="1440" w:type="dxa"/>
            <w:vMerge/>
            <w:shd w:val="clear" w:color="auto" w:fill="DDD9C3" w:themeFill="background2" w:themeFillShade="E6"/>
            <w:vAlign w:val="center"/>
          </w:tcPr>
          <w:p w:rsidR="00773A91" w:rsidRPr="00C54CD3" w:rsidRDefault="00773A91" w:rsidP="00773A91">
            <w:pPr>
              <w:pStyle w:val="NoSpacing"/>
              <w:jc w:val="center"/>
              <w:rPr>
                <w:szCs w:val="20"/>
              </w:rPr>
            </w:pPr>
          </w:p>
        </w:tc>
      </w:tr>
      <w:tr w:rsidR="00773A91" w:rsidRPr="00C54CD3" w:rsidTr="00773A91">
        <w:tc>
          <w:tcPr>
            <w:tcW w:w="990" w:type="dxa"/>
            <w:vMerge/>
            <w:shd w:val="clear" w:color="auto" w:fill="DDD9C3" w:themeFill="background2" w:themeFillShade="E6"/>
          </w:tcPr>
          <w:p w:rsidR="00773A91" w:rsidRPr="00C54CD3" w:rsidRDefault="00773A91" w:rsidP="00773A91">
            <w:pPr>
              <w:pStyle w:val="NoSpacing"/>
              <w:rPr>
                <w:szCs w:val="20"/>
              </w:rPr>
            </w:pPr>
          </w:p>
        </w:tc>
        <w:tc>
          <w:tcPr>
            <w:tcW w:w="7470" w:type="dxa"/>
          </w:tcPr>
          <w:p w:rsidR="00773A91" w:rsidRPr="00C54CD3" w:rsidRDefault="00773A91" w:rsidP="00773A91">
            <w:pPr>
              <w:pStyle w:val="NoSpacing"/>
              <w:rPr>
                <w:szCs w:val="20"/>
              </w:rPr>
            </w:pPr>
            <w:r>
              <w:rPr>
                <w:szCs w:val="20"/>
              </w:rPr>
              <w:t>-Identify various influences on sexual behavior, as well as facts/myths associated with sexually transmitted infections</w:t>
            </w:r>
          </w:p>
        </w:tc>
        <w:tc>
          <w:tcPr>
            <w:tcW w:w="1440" w:type="dxa"/>
            <w:vMerge/>
            <w:shd w:val="clear" w:color="auto" w:fill="DDD9C3" w:themeFill="background2" w:themeFillShade="E6"/>
            <w:vAlign w:val="center"/>
          </w:tcPr>
          <w:p w:rsidR="00773A91" w:rsidRPr="00C54CD3" w:rsidRDefault="00773A91" w:rsidP="00773A91">
            <w:pPr>
              <w:pStyle w:val="NoSpacing"/>
              <w:jc w:val="center"/>
              <w:rPr>
                <w:szCs w:val="20"/>
              </w:rPr>
            </w:pPr>
          </w:p>
        </w:tc>
      </w:tr>
      <w:tr w:rsidR="00773A91" w:rsidRPr="00C54CD3" w:rsidTr="00773A91">
        <w:tc>
          <w:tcPr>
            <w:tcW w:w="990" w:type="dxa"/>
            <w:vMerge/>
            <w:shd w:val="clear" w:color="auto" w:fill="DDD9C3" w:themeFill="background2" w:themeFillShade="E6"/>
          </w:tcPr>
          <w:p w:rsidR="00773A91" w:rsidRPr="00C54CD3" w:rsidRDefault="00773A91" w:rsidP="00773A91">
            <w:pPr>
              <w:pStyle w:val="NoSpacing"/>
              <w:rPr>
                <w:szCs w:val="20"/>
              </w:rPr>
            </w:pPr>
          </w:p>
        </w:tc>
        <w:tc>
          <w:tcPr>
            <w:tcW w:w="7470" w:type="dxa"/>
          </w:tcPr>
          <w:p w:rsidR="00773A91" w:rsidRPr="00C54CD3" w:rsidRDefault="00773A91" w:rsidP="00773A91">
            <w:pPr>
              <w:pStyle w:val="NoSpacing"/>
              <w:rPr>
                <w:szCs w:val="20"/>
              </w:rPr>
            </w:pPr>
            <w:r>
              <w:rPr>
                <w:szCs w:val="20"/>
              </w:rPr>
              <w:t>-Locate and access valid and reliable resources for services, care, information, counseling or testing related to any aspect of reproductive health</w:t>
            </w:r>
          </w:p>
        </w:tc>
        <w:tc>
          <w:tcPr>
            <w:tcW w:w="1440" w:type="dxa"/>
            <w:vMerge/>
            <w:shd w:val="clear" w:color="auto" w:fill="DDD9C3" w:themeFill="background2" w:themeFillShade="E6"/>
            <w:vAlign w:val="center"/>
          </w:tcPr>
          <w:p w:rsidR="00773A91" w:rsidRPr="00C54CD3" w:rsidRDefault="00773A91" w:rsidP="00773A91">
            <w:pPr>
              <w:pStyle w:val="NoSpacing"/>
              <w:jc w:val="center"/>
              <w:rPr>
                <w:szCs w:val="20"/>
              </w:rPr>
            </w:pPr>
          </w:p>
        </w:tc>
      </w:tr>
    </w:tbl>
    <w:p w:rsidR="008232D0" w:rsidRPr="007007B2" w:rsidRDefault="008232D0" w:rsidP="008232D0">
      <w:pPr>
        <w:pStyle w:val="NoSpacing"/>
        <w:rPr>
          <w:b/>
          <w:sz w:val="24"/>
        </w:rPr>
      </w:pPr>
    </w:p>
    <w:p w:rsidR="00A00162" w:rsidRDefault="00A00162" w:rsidP="002F6E0C">
      <w:pPr>
        <w:rPr>
          <w:b/>
          <w:sz w:val="24"/>
        </w:rPr>
      </w:pPr>
    </w:p>
    <w:p w:rsidR="00F847D2" w:rsidRDefault="00F847D2" w:rsidP="00F847D2">
      <w:pPr>
        <w:rPr>
          <w:sz w:val="24"/>
        </w:rPr>
      </w:pPr>
      <w:r w:rsidRPr="002F6E0C">
        <w:rPr>
          <w:b/>
          <w:sz w:val="24"/>
        </w:rPr>
        <w:t>Grading Practices</w:t>
      </w:r>
      <w:r>
        <w:rPr>
          <w:sz w:val="24"/>
        </w:rPr>
        <w:t>: Students will work towards proficiency in all course competencies.  You will have formative and summative assessments multiple times for each course competency and will be given ample opportunities to meet each competency in a variety of ways.</w:t>
      </w:r>
    </w:p>
    <w:p w:rsidR="00F847D2" w:rsidRDefault="00F847D2" w:rsidP="00F847D2">
      <w:r w:rsidRPr="006701FD">
        <w:rPr>
          <w:b/>
        </w:rPr>
        <w:t>What is formative?</w:t>
      </w:r>
      <w:r w:rsidRPr="00D41760">
        <w:t xml:space="preserve"> </w:t>
      </w:r>
      <w:r>
        <w:t xml:space="preserve"> </w:t>
      </w:r>
      <w:r w:rsidRPr="00170904">
        <w:rPr>
          <w:rFonts w:eastAsia="Verdana" w:cstheme="minorHAnsi"/>
          <w:bCs/>
          <w:sz w:val="21"/>
          <w:szCs w:val="21"/>
        </w:rPr>
        <w:t>Formative assessments</w:t>
      </w:r>
      <w:r w:rsidRPr="005918EE">
        <w:rPr>
          <w:rFonts w:eastAsia="Verdana" w:cstheme="minorHAnsi"/>
          <w:sz w:val="21"/>
          <w:szCs w:val="21"/>
        </w:rPr>
        <w:t xml:space="preserve"> consist of those assignments and assessments that measure your understanding of </w:t>
      </w:r>
      <w:r>
        <w:rPr>
          <w:rFonts w:eastAsia="Verdana" w:cstheme="minorHAnsi"/>
          <w:sz w:val="21"/>
          <w:szCs w:val="21"/>
        </w:rPr>
        <w:t>the vocabulary, content, and skills</w:t>
      </w:r>
      <w:r w:rsidRPr="005918EE">
        <w:rPr>
          <w:rFonts w:eastAsia="Verdana" w:cstheme="minorHAnsi"/>
          <w:sz w:val="21"/>
          <w:szCs w:val="21"/>
        </w:rPr>
        <w:t xml:space="preserve"> being studied.  Typically, they build towards </w:t>
      </w:r>
      <w:r w:rsidRPr="005918EE">
        <w:rPr>
          <w:rFonts w:eastAsia="Verdana" w:cstheme="minorHAnsi"/>
          <w:sz w:val="21"/>
          <w:szCs w:val="21"/>
        </w:rPr>
        <w:lastRenderedPageBreak/>
        <w:t>mastery of the summative assessments.  In order to redo summative assessments for mastery, students must also complete all formative assessments.</w:t>
      </w:r>
      <w:r>
        <w:rPr>
          <w:rFonts w:eastAsia="Verdana" w:cstheme="minorHAnsi"/>
          <w:sz w:val="21"/>
          <w:szCs w:val="21"/>
        </w:rPr>
        <w:br/>
      </w:r>
      <w:r w:rsidRPr="006701FD">
        <w:rPr>
          <w:b/>
        </w:rPr>
        <w:t>What is summative?</w:t>
      </w:r>
      <w:r>
        <w:t xml:space="preserve"> </w:t>
      </w:r>
      <w:r>
        <w:br/>
      </w:r>
      <w:r w:rsidRPr="002A4C52">
        <w:rPr>
          <w:rFonts w:eastAsia="Verdana" w:cstheme="minorHAnsi"/>
          <w:sz w:val="21"/>
          <w:szCs w:val="21"/>
        </w:rPr>
        <w:t xml:space="preserve">Summative assessments are given during or at the end of a unit to demonstrate your mastery of a competency, a skill.  These assessments will be given to you, with a clear rubric when appropriate, with sufficient time for review, </w:t>
      </w:r>
      <w:r>
        <w:rPr>
          <w:rFonts w:eastAsia="Verdana" w:cstheme="minorHAnsi"/>
          <w:sz w:val="21"/>
          <w:szCs w:val="21"/>
        </w:rPr>
        <w:t>application practice, conferencing, and demonstration of knowledge and/or skills</w:t>
      </w:r>
      <w:r w:rsidRPr="002A4C52">
        <w:rPr>
          <w:rFonts w:eastAsia="Verdana" w:cstheme="minorHAnsi"/>
          <w:sz w:val="21"/>
          <w:szCs w:val="21"/>
        </w:rPr>
        <w:t xml:space="preserve">.  If a student does not meet the </w:t>
      </w:r>
      <w:r>
        <w:rPr>
          <w:rFonts w:eastAsia="Verdana" w:cstheme="minorHAnsi"/>
          <w:sz w:val="21"/>
          <w:szCs w:val="21"/>
        </w:rPr>
        <w:t xml:space="preserve">minimal “competent” </w:t>
      </w:r>
      <w:r w:rsidRPr="002A4C52">
        <w:rPr>
          <w:rFonts w:eastAsia="Verdana" w:cstheme="minorHAnsi"/>
          <w:sz w:val="21"/>
          <w:szCs w:val="21"/>
        </w:rPr>
        <w:t>expectations on the rubric</w:t>
      </w:r>
      <w:r>
        <w:rPr>
          <w:rFonts w:eastAsia="Verdana" w:cstheme="minorHAnsi"/>
          <w:sz w:val="21"/>
          <w:szCs w:val="21"/>
        </w:rPr>
        <w:t xml:space="preserve"> or assignment</w:t>
      </w:r>
      <w:r w:rsidRPr="002A4C52">
        <w:rPr>
          <w:rFonts w:eastAsia="Verdana" w:cstheme="minorHAnsi"/>
          <w:sz w:val="21"/>
          <w:szCs w:val="21"/>
        </w:rPr>
        <w:t>, he/she will be given the opportunity, until the end of the marking term, to redo the summative assessment until mastery is achieved.</w:t>
      </w:r>
    </w:p>
    <w:p w:rsidR="000B0850" w:rsidRDefault="000B0850" w:rsidP="000B0850">
      <w:pPr>
        <w:rPr>
          <w:sz w:val="24"/>
        </w:rPr>
      </w:pPr>
      <w:r w:rsidRPr="002F6E0C">
        <w:rPr>
          <w:b/>
          <w:sz w:val="24"/>
        </w:rPr>
        <w:t>Assessments</w:t>
      </w:r>
      <w:r w:rsidRPr="002F6E0C">
        <w:rPr>
          <w:sz w:val="24"/>
        </w:rPr>
        <w:t>: [Summative Assessments for the course listed</w:t>
      </w:r>
      <w:r w:rsidR="00B456D7">
        <w:rPr>
          <w:sz w:val="24"/>
        </w:rPr>
        <w:t>.]</w:t>
      </w:r>
    </w:p>
    <w:p w:rsidR="000B0850" w:rsidRPr="00D41760" w:rsidRDefault="00B456D7" w:rsidP="000B0850">
      <w:pPr>
        <w:pStyle w:val="NoSpacing"/>
        <w:numPr>
          <w:ilvl w:val="0"/>
          <w:numId w:val="4"/>
        </w:numPr>
      </w:pPr>
      <w:r>
        <w:t>Health Risk Factor Survey &amp; Reflection</w:t>
      </w:r>
      <w:r w:rsidR="007159D0">
        <w:t xml:space="preserve">: Students will use their knowledge of a health risk factor, as well as skills for enhancing overall health to create a 25 question multiple choice </w:t>
      </w:r>
      <w:r w:rsidR="00A61EDD">
        <w:t>surveys</w:t>
      </w:r>
      <w:r w:rsidR="007159D0">
        <w:t>.  They will anonymously exchange surveys assessing health risk factors, complete a peer’s survey and score accordingly, and analyze and reflect upon their results.</w:t>
      </w:r>
    </w:p>
    <w:p w:rsidR="000B0850" w:rsidRDefault="00B456D7" w:rsidP="000B0850">
      <w:pPr>
        <w:pStyle w:val="NoSpacing"/>
        <w:numPr>
          <w:ilvl w:val="0"/>
          <w:numId w:val="4"/>
        </w:numPr>
      </w:pPr>
      <w:r>
        <w:t>Advocacy – PSA Announcement</w:t>
      </w:r>
      <w:r w:rsidR="007159D0">
        <w:t xml:space="preserve">: Students will choose one of the six components of health and create a public service announcement advocating for that component of health.  Their PSA may be in any creative format, but must strictly advocate for the promotion of health in that area </w:t>
      </w:r>
    </w:p>
    <w:p w:rsidR="00A00162" w:rsidRPr="00B456D7" w:rsidRDefault="00B456D7" w:rsidP="000B0850">
      <w:pPr>
        <w:pStyle w:val="NoSpacing"/>
        <w:numPr>
          <w:ilvl w:val="0"/>
          <w:numId w:val="4"/>
        </w:numPr>
      </w:pPr>
      <w:r>
        <w:t>Scenario Responses &amp; Skit Script</w:t>
      </w:r>
      <w:r w:rsidR="007159D0">
        <w:t xml:space="preserve">: Students will receive a variety of scenarios surrounding conflict, self-esteem, self-management, stress, etc. and will need to write a healthy response to each demonstrating a variety of management skills, resolution skills, and strategies for coping or managing stress.  They will choose one of the scenarios and their response to create a fictional skit in which they will use characters to present the situation and respond to it.  </w:t>
      </w:r>
    </w:p>
    <w:p w:rsidR="000B0850" w:rsidRPr="00D41760" w:rsidRDefault="00B456D7" w:rsidP="000B0850">
      <w:pPr>
        <w:pStyle w:val="NoSpacing"/>
        <w:numPr>
          <w:ilvl w:val="0"/>
          <w:numId w:val="4"/>
        </w:numPr>
      </w:pPr>
      <w:r>
        <w:t>Mental Health Disorder Project</w:t>
      </w:r>
      <w:r w:rsidR="00597CD3">
        <w:t>: Students will research a mental health disorder of their choice to identify key defining characteristics and facts about the disorder.  They will use their research to write an analysis of a “day in the life” with the disorder, as well as create a final product of their choice to present the researched information to their peers.</w:t>
      </w:r>
    </w:p>
    <w:p w:rsidR="000B0850" w:rsidRPr="00D41760" w:rsidRDefault="00B456D7" w:rsidP="000B0850">
      <w:pPr>
        <w:pStyle w:val="NoSpacing"/>
        <w:numPr>
          <w:ilvl w:val="0"/>
          <w:numId w:val="4"/>
        </w:numPr>
      </w:pPr>
      <w:r>
        <w:t>Mini Poster</w:t>
      </w:r>
      <w:r w:rsidR="00597CD3">
        <w:t>: Each student will be assigned a section of the family life, parenting, and relationship unit to create a mini-poster recalling and identifying the key pieces of information relating to their specified topic.  Their poster will be a resource for review of the information and will be shared whole group.</w:t>
      </w:r>
    </w:p>
    <w:p w:rsidR="000B0850" w:rsidRPr="00D41760" w:rsidRDefault="00B456D7" w:rsidP="000B0850">
      <w:pPr>
        <w:pStyle w:val="NoSpacing"/>
        <w:numPr>
          <w:ilvl w:val="0"/>
          <w:numId w:val="4"/>
        </w:numPr>
      </w:pPr>
      <w:r>
        <w:t>Unit Exam</w:t>
      </w:r>
      <w:r w:rsidR="00597CD3">
        <w:t>: Family life and family forms, Parenting Styles and responsibilities, and Relationships</w:t>
      </w:r>
    </w:p>
    <w:p w:rsidR="000B0850" w:rsidRDefault="00B456D7" w:rsidP="000B0850">
      <w:pPr>
        <w:pStyle w:val="NoSpacing"/>
        <w:numPr>
          <w:ilvl w:val="0"/>
          <w:numId w:val="4"/>
        </w:numPr>
      </w:pPr>
      <w:r>
        <w:t>Labeling &amp; Sequencing Assessment</w:t>
      </w:r>
      <w:r w:rsidR="00597CD3">
        <w:t>: Students will correctly label a provided diagram of both male and female reproductive systems.  They will also be given a sheet with multiple steps of both male and female reproductive processes in which they will have to sort, and reorganize in proper sequential order to describe the overall process.  They will complete a written piece summarizing the order of events for both the male and female reproductive systems.</w:t>
      </w:r>
    </w:p>
    <w:p w:rsidR="00A00162" w:rsidRPr="00D41760" w:rsidRDefault="00B456D7" w:rsidP="00A00162">
      <w:pPr>
        <w:pStyle w:val="NoSpacing"/>
        <w:numPr>
          <w:ilvl w:val="0"/>
          <w:numId w:val="4"/>
        </w:numPr>
      </w:pPr>
      <w:r>
        <w:t>Transmission Simulation Response</w:t>
      </w:r>
      <w:r w:rsidR="00597CD3">
        <w:t>: Students will participate in a “modes of transmission” simulation to demonstrate ideas such as patient zero, spread of disease, prevention methods, etc. They will be asked to evaluation their role in the activity and respond to a series of questions analyzing the multiple factors that affected their overall results in the simulation.</w:t>
      </w:r>
    </w:p>
    <w:p w:rsidR="005C48E8" w:rsidRDefault="005C48E8" w:rsidP="005C48E8">
      <w:r>
        <w:br/>
      </w:r>
      <w:r w:rsidRPr="005C48E8">
        <w:rPr>
          <w:b/>
          <w:u w:val="single"/>
        </w:rPr>
        <w:t>This Course will evaluate the following 21</w:t>
      </w:r>
      <w:r w:rsidRPr="005C48E8">
        <w:rPr>
          <w:b/>
          <w:u w:val="single"/>
          <w:vertAlign w:val="superscript"/>
        </w:rPr>
        <w:t>st</w:t>
      </w:r>
      <w:r w:rsidRPr="005C48E8">
        <w:rPr>
          <w:b/>
          <w:u w:val="single"/>
        </w:rPr>
        <w:t xml:space="preserve"> Century Skills: </w:t>
      </w:r>
      <w:r>
        <w:br/>
        <w:t>*</w:t>
      </w:r>
      <w:r>
        <w:t>Discussion</w:t>
      </w:r>
      <w:r>
        <w:t xml:space="preserve">     </w:t>
      </w:r>
      <w:bookmarkStart w:id="0" w:name="_GoBack"/>
      <w:bookmarkEnd w:id="0"/>
      <w:r>
        <w:t xml:space="preserve">                               *</w:t>
      </w:r>
      <w:r>
        <w:t xml:space="preserve">Physical &amp; Mental Health Awareness </w:t>
      </w:r>
      <w:r>
        <w:t xml:space="preserve">                  * </w:t>
      </w:r>
      <w:r>
        <w:t>Collaborative Inquiry</w:t>
      </w:r>
    </w:p>
    <w:sectPr w:rsidR="005C48E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01" w:rsidRDefault="00990C01" w:rsidP="002F6E0C">
      <w:pPr>
        <w:spacing w:after="0" w:line="240" w:lineRule="auto"/>
      </w:pPr>
      <w:r>
        <w:separator/>
      </w:r>
    </w:p>
  </w:endnote>
  <w:endnote w:type="continuationSeparator" w:id="0">
    <w:p w:rsidR="00990C01" w:rsidRDefault="00990C01" w:rsidP="002F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C4" w:rsidRDefault="000154B8">
    <w:pPr>
      <w:pStyle w:val="Footer"/>
    </w:pPr>
    <w:r>
      <w:t xml:space="preserve">Instructor: Nicole </w:t>
    </w:r>
    <w:proofErr w:type="spellStart"/>
    <w:r w:rsidR="00B54FD7">
      <w:t>LaRoche</w:t>
    </w:r>
    <w:proofErr w:type="spellEnd"/>
    <w:r w:rsidR="00B54FD7">
      <w:tab/>
      <w:t>E-mail: nlaroche</w:t>
    </w:r>
    <w:r w:rsidR="00C967C4">
      <w:t>@hdsd.k12.nh.us</w:t>
    </w:r>
    <w:r>
      <w:tab/>
      <w:t>Phone: (603) 464-1186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01" w:rsidRDefault="00990C01" w:rsidP="002F6E0C">
      <w:pPr>
        <w:spacing w:after="0" w:line="240" w:lineRule="auto"/>
      </w:pPr>
      <w:r>
        <w:separator/>
      </w:r>
    </w:p>
  </w:footnote>
  <w:footnote w:type="continuationSeparator" w:id="0">
    <w:p w:rsidR="00990C01" w:rsidRDefault="00990C01" w:rsidP="002F6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FD" w:rsidRPr="00F847D2" w:rsidRDefault="009A32FC" w:rsidP="00F50089">
    <w:pPr>
      <w:pStyle w:val="NoSpacing"/>
      <w:jc w:val="center"/>
      <w:rPr>
        <w:i/>
        <w:color w:val="948A54" w:themeColor="background2" w:themeShade="80"/>
        <w:sz w:val="20"/>
        <w:szCs w:val="20"/>
      </w:rPr>
    </w:pPr>
    <w:r w:rsidRPr="00F847D2">
      <w:rPr>
        <w:rStyle w:val="Strong"/>
        <w:i/>
        <w:color w:val="948A54" w:themeColor="background2" w:themeShade="80"/>
        <w:sz w:val="20"/>
        <w:szCs w:val="20"/>
      </w:rPr>
      <w:t xml:space="preserve">H-DHS commits to building </w:t>
    </w:r>
    <w:r w:rsidRPr="00F847D2">
      <w:rPr>
        <w:rStyle w:val="Strong"/>
        <w:i/>
        <w:color w:val="948A54" w:themeColor="background2" w:themeShade="80"/>
        <w:sz w:val="20"/>
        <w:szCs w:val="20"/>
        <w:u w:val="single"/>
      </w:rPr>
      <w:t xml:space="preserve">community, </w:t>
    </w:r>
    <w:r w:rsidRPr="00F847D2">
      <w:rPr>
        <w:rStyle w:val="Strong"/>
        <w:i/>
        <w:color w:val="948A54" w:themeColor="background2" w:themeShade="80"/>
        <w:sz w:val="20"/>
        <w:szCs w:val="20"/>
      </w:rPr>
      <w:t xml:space="preserve">providing a </w:t>
    </w:r>
    <w:r w:rsidRPr="00F847D2">
      <w:rPr>
        <w:rStyle w:val="Strong"/>
        <w:i/>
        <w:color w:val="948A54" w:themeColor="background2" w:themeShade="80"/>
        <w:sz w:val="20"/>
        <w:szCs w:val="20"/>
        <w:u w:val="single"/>
      </w:rPr>
      <w:t>personalized</w:t>
    </w:r>
    <w:r w:rsidRPr="00F847D2">
      <w:rPr>
        <w:rStyle w:val="Strong"/>
        <w:i/>
        <w:color w:val="948A54" w:themeColor="background2" w:themeShade="80"/>
        <w:sz w:val="20"/>
        <w:szCs w:val="20"/>
      </w:rPr>
      <w:t xml:space="preserve"> education, encouraging continual </w:t>
    </w:r>
    <w:r w:rsidRPr="00F847D2">
      <w:rPr>
        <w:rStyle w:val="Strong"/>
        <w:i/>
        <w:color w:val="948A54" w:themeColor="background2" w:themeShade="80"/>
        <w:sz w:val="20"/>
        <w:szCs w:val="20"/>
        <w:u w:val="single"/>
      </w:rPr>
      <w:t>progress</w:t>
    </w:r>
    <w:r w:rsidRPr="00F847D2">
      <w:rPr>
        <w:rStyle w:val="Strong"/>
        <w:i/>
        <w:color w:val="948A54" w:themeColor="background2" w:themeShade="80"/>
        <w:sz w:val="20"/>
        <w:szCs w:val="20"/>
      </w:rPr>
      <w:t xml:space="preserve">, and inspiring </w:t>
    </w:r>
    <w:r w:rsidRPr="00F847D2">
      <w:rPr>
        <w:rStyle w:val="Strong"/>
        <w:i/>
        <w:color w:val="948A54" w:themeColor="background2" w:themeShade="80"/>
        <w:sz w:val="20"/>
        <w:szCs w:val="20"/>
        <w:u w:val="single"/>
      </w:rPr>
      <w:t>purposeful</w:t>
    </w:r>
    <w:r w:rsidRPr="00F847D2">
      <w:rPr>
        <w:rStyle w:val="Strong"/>
        <w:i/>
        <w:color w:val="948A54" w:themeColor="background2" w:themeShade="80"/>
        <w:sz w:val="20"/>
        <w:szCs w:val="20"/>
      </w:rPr>
      <w:t xml:space="preserve"> lives.</w:t>
    </w:r>
  </w:p>
  <w:p w:rsidR="006701FD" w:rsidRDefault="00670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9EE"/>
    <w:multiLevelType w:val="hybridMultilevel"/>
    <w:tmpl w:val="7262B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F7104"/>
    <w:multiLevelType w:val="hybridMultilevel"/>
    <w:tmpl w:val="17568C16"/>
    <w:lvl w:ilvl="0" w:tplc="42725D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26FBB"/>
    <w:multiLevelType w:val="hybridMultilevel"/>
    <w:tmpl w:val="205A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C162C"/>
    <w:multiLevelType w:val="hybridMultilevel"/>
    <w:tmpl w:val="73E4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2006D"/>
    <w:multiLevelType w:val="hybridMultilevel"/>
    <w:tmpl w:val="7C50710E"/>
    <w:lvl w:ilvl="0" w:tplc="B3EE67A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D632DC"/>
    <w:multiLevelType w:val="multilevel"/>
    <w:tmpl w:val="A4D6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CA2F42"/>
    <w:multiLevelType w:val="hybridMultilevel"/>
    <w:tmpl w:val="EF84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2840F8"/>
    <w:multiLevelType w:val="hybridMultilevel"/>
    <w:tmpl w:val="B352FC22"/>
    <w:lvl w:ilvl="0" w:tplc="A210B4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8193E"/>
    <w:multiLevelType w:val="hybridMultilevel"/>
    <w:tmpl w:val="1C0E8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4"/>
  </w:num>
  <w:num w:numId="5">
    <w:abstractNumId w:val="6"/>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0C"/>
    <w:rsid w:val="00011AC9"/>
    <w:rsid w:val="000154B8"/>
    <w:rsid w:val="000B0850"/>
    <w:rsid w:val="000C5A62"/>
    <w:rsid w:val="0026423A"/>
    <w:rsid w:val="00293667"/>
    <w:rsid w:val="002A782F"/>
    <w:rsid w:val="002F6E0C"/>
    <w:rsid w:val="00426D5C"/>
    <w:rsid w:val="004270F9"/>
    <w:rsid w:val="00466FDF"/>
    <w:rsid w:val="00471FD5"/>
    <w:rsid w:val="004C7E95"/>
    <w:rsid w:val="005473ED"/>
    <w:rsid w:val="00597CD3"/>
    <w:rsid w:val="005C48E8"/>
    <w:rsid w:val="006701FD"/>
    <w:rsid w:val="007159D0"/>
    <w:rsid w:val="007236B4"/>
    <w:rsid w:val="00773A91"/>
    <w:rsid w:val="00787675"/>
    <w:rsid w:val="007F1997"/>
    <w:rsid w:val="008232D0"/>
    <w:rsid w:val="00881A1F"/>
    <w:rsid w:val="00990C01"/>
    <w:rsid w:val="00991948"/>
    <w:rsid w:val="009A32FC"/>
    <w:rsid w:val="009D7FC1"/>
    <w:rsid w:val="00A00162"/>
    <w:rsid w:val="00A3518A"/>
    <w:rsid w:val="00A61EDD"/>
    <w:rsid w:val="00AB50B8"/>
    <w:rsid w:val="00AC44FA"/>
    <w:rsid w:val="00B456D7"/>
    <w:rsid w:val="00B54FD7"/>
    <w:rsid w:val="00C8506D"/>
    <w:rsid w:val="00C967C4"/>
    <w:rsid w:val="00CF1324"/>
    <w:rsid w:val="00D22BF3"/>
    <w:rsid w:val="00D41760"/>
    <w:rsid w:val="00E450AA"/>
    <w:rsid w:val="00EA0515"/>
    <w:rsid w:val="00F50089"/>
    <w:rsid w:val="00F847D2"/>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0C"/>
  </w:style>
  <w:style w:type="paragraph" w:styleId="Footer">
    <w:name w:val="footer"/>
    <w:basedOn w:val="Normal"/>
    <w:link w:val="FooterChar"/>
    <w:uiPriority w:val="99"/>
    <w:unhideWhenUsed/>
    <w:rsid w:val="002F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E0C"/>
  </w:style>
  <w:style w:type="paragraph" w:styleId="ListParagraph">
    <w:name w:val="List Paragraph"/>
    <w:basedOn w:val="Normal"/>
    <w:uiPriority w:val="34"/>
    <w:qFormat/>
    <w:rsid w:val="002F6E0C"/>
    <w:pPr>
      <w:ind w:left="720"/>
      <w:contextualSpacing/>
    </w:pPr>
  </w:style>
  <w:style w:type="paragraph" w:styleId="NoSpacing">
    <w:name w:val="No Spacing"/>
    <w:uiPriority w:val="1"/>
    <w:qFormat/>
    <w:rsid w:val="004C7E95"/>
    <w:pPr>
      <w:spacing w:after="0" w:line="240" w:lineRule="auto"/>
    </w:pPr>
  </w:style>
  <w:style w:type="table" w:styleId="TableGrid">
    <w:name w:val="Table Grid"/>
    <w:basedOn w:val="TableNormal"/>
    <w:uiPriority w:val="59"/>
    <w:rsid w:val="004C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FD"/>
    <w:rPr>
      <w:rFonts w:ascii="Tahoma" w:hAnsi="Tahoma" w:cs="Tahoma"/>
      <w:sz w:val="16"/>
      <w:szCs w:val="16"/>
    </w:rPr>
  </w:style>
  <w:style w:type="character" w:styleId="Strong">
    <w:name w:val="Strong"/>
    <w:basedOn w:val="DefaultParagraphFont"/>
    <w:uiPriority w:val="22"/>
    <w:qFormat/>
    <w:rsid w:val="006701FD"/>
    <w:rPr>
      <w:b/>
      <w:bCs/>
    </w:rPr>
  </w:style>
  <w:style w:type="character" w:styleId="Hyperlink">
    <w:name w:val="Hyperlink"/>
    <w:basedOn w:val="DefaultParagraphFont"/>
    <w:uiPriority w:val="99"/>
    <w:semiHidden/>
    <w:unhideWhenUsed/>
    <w:rsid w:val="00881A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0C"/>
  </w:style>
  <w:style w:type="paragraph" w:styleId="Footer">
    <w:name w:val="footer"/>
    <w:basedOn w:val="Normal"/>
    <w:link w:val="FooterChar"/>
    <w:uiPriority w:val="99"/>
    <w:unhideWhenUsed/>
    <w:rsid w:val="002F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E0C"/>
  </w:style>
  <w:style w:type="paragraph" w:styleId="ListParagraph">
    <w:name w:val="List Paragraph"/>
    <w:basedOn w:val="Normal"/>
    <w:uiPriority w:val="34"/>
    <w:qFormat/>
    <w:rsid w:val="002F6E0C"/>
    <w:pPr>
      <w:ind w:left="720"/>
      <w:contextualSpacing/>
    </w:pPr>
  </w:style>
  <w:style w:type="paragraph" w:styleId="NoSpacing">
    <w:name w:val="No Spacing"/>
    <w:uiPriority w:val="1"/>
    <w:qFormat/>
    <w:rsid w:val="004C7E95"/>
    <w:pPr>
      <w:spacing w:after="0" w:line="240" w:lineRule="auto"/>
    </w:pPr>
  </w:style>
  <w:style w:type="table" w:styleId="TableGrid">
    <w:name w:val="Table Grid"/>
    <w:basedOn w:val="TableNormal"/>
    <w:uiPriority w:val="59"/>
    <w:rsid w:val="004C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FD"/>
    <w:rPr>
      <w:rFonts w:ascii="Tahoma" w:hAnsi="Tahoma" w:cs="Tahoma"/>
      <w:sz w:val="16"/>
      <w:szCs w:val="16"/>
    </w:rPr>
  </w:style>
  <w:style w:type="character" w:styleId="Strong">
    <w:name w:val="Strong"/>
    <w:basedOn w:val="DefaultParagraphFont"/>
    <w:uiPriority w:val="22"/>
    <w:qFormat/>
    <w:rsid w:val="006701FD"/>
    <w:rPr>
      <w:b/>
      <w:bCs/>
    </w:rPr>
  </w:style>
  <w:style w:type="character" w:styleId="Hyperlink">
    <w:name w:val="Hyperlink"/>
    <w:basedOn w:val="DefaultParagraphFont"/>
    <w:uiPriority w:val="99"/>
    <w:semiHidden/>
    <w:unhideWhenUsed/>
    <w:rsid w:val="00881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healthyyouth/sher/standards/5.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healthyyouth/sher/standards/4.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dc.gov/healthyyouth/sher/standards/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healthyyouth/sher/standards/3.htm" TargetMode="External"/><Relationship Id="rId5" Type="http://schemas.openxmlformats.org/officeDocument/2006/relationships/settings" Target="settings.xml"/><Relationship Id="rId15" Type="http://schemas.openxmlformats.org/officeDocument/2006/relationships/hyperlink" Target="http://www.cdc.gov/healthyyouth/sher/standards/7.htm" TargetMode="External"/><Relationship Id="rId10" Type="http://schemas.openxmlformats.org/officeDocument/2006/relationships/hyperlink" Target="http://www.cdc.gov/healthyyouth/sher/standards/2.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dc.gov/healthyyouth/sher/standards/1.htm" TargetMode="External"/><Relationship Id="rId14" Type="http://schemas.openxmlformats.org/officeDocument/2006/relationships/hyperlink" Target="http://www.cdc.gov/healthyyouth/sher/standards/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5461-3C58-4135-9D3D-E68494F4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jdechert</dc:creator>
  <cp:lastModifiedBy>Nicole LaRoche</cp:lastModifiedBy>
  <cp:revision>7</cp:revision>
  <cp:lastPrinted>2013-01-15T18:17:00Z</cp:lastPrinted>
  <dcterms:created xsi:type="dcterms:W3CDTF">2014-08-15T13:51:00Z</dcterms:created>
  <dcterms:modified xsi:type="dcterms:W3CDTF">2014-08-25T12:29:00Z</dcterms:modified>
</cp:coreProperties>
</file>