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80" w:rsidRDefault="007C4C80" w:rsidP="007C4C80">
      <w:pPr>
        <w:rPr>
          <w:b/>
        </w:rPr>
      </w:pPr>
      <w:r w:rsidRPr="007C4C80">
        <w:rPr>
          <w:b/>
        </w:rPr>
        <w:t>TEAM</w:t>
      </w:r>
      <w:r w:rsidR="00AC5C9D" w:rsidRPr="007C4C80">
        <w:rPr>
          <w:b/>
        </w:rPr>
        <w:t>:</w:t>
      </w:r>
      <w:r w:rsidRPr="007C4C80">
        <w:rPr>
          <w:b/>
        </w:rPr>
        <w:tab/>
      </w:r>
      <w:r w:rsidR="00190740" w:rsidRPr="00190740">
        <w:t>Standard 7</w:t>
      </w:r>
    </w:p>
    <w:p w:rsidR="00DE6CEE" w:rsidRPr="007C4C80" w:rsidRDefault="007C4C80" w:rsidP="007C4C80">
      <w:pPr>
        <w:rPr>
          <w:b/>
        </w:rPr>
      </w:pPr>
      <w:r w:rsidRPr="007C4C80">
        <w:rPr>
          <w:b/>
        </w:rPr>
        <w:t>PRESENT:</w:t>
      </w:r>
      <w:r w:rsidR="00190740">
        <w:rPr>
          <w:b/>
        </w:rPr>
        <w:t xml:space="preserve">  </w:t>
      </w:r>
      <w:r w:rsidR="00537682">
        <w:t xml:space="preserve">Joe Walker, </w:t>
      </w:r>
      <w:r w:rsidR="00B82A3A">
        <w:t xml:space="preserve"> </w:t>
      </w:r>
      <w:r w:rsidR="001A3D66">
        <w:t xml:space="preserve">Gail Eaton, </w:t>
      </w:r>
      <w:r w:rsidR="00B82A3A">
        <w:t>Linda Saari</w:t>
      </w:r>
      <w:r w:rsidR="00537682">
        <w:t>, Michele Ferenc</w:t>
      </w:r>
      <w:r w:rsidR="00C10561">
        <w:t xml:space="preserve">sik, , John </w:t>
      </w:r>
      <w:proofErr w:type="spellStart"/>
      <w:r w:rsidR="00C10561">
        <w:t>Segedy</w:t>
      </w:r>
      <w:proofErr w:type="spellEnd"/>
      <w:r w:rsidR="00C10561">
        <w:t>,</w:t>
      </w:r>
      <w:r w:rsidR="00990247">
        <w:t xml:space="preserve"> </w:t>
      </w:r>
      <w:r w:rsidR="0077295F">
        <w:t>Brian McGinn</w:t>
      </w:r>
      <w:r w:rsidR="00B82A3A">
        <w:t>,</w:t>
      </w:r>
      <w:r w:rsidR="0077295F">
        <w:t xml:space="preserve"> </w:t>
      </w:r>
      <w:r w:rsidR="00B82A3A">
        <w:t>Alyssa Bailey</w:t>
      </w:r>
      <w:r w:rsidR="001A3D66">
        <w:t xml:space="preserve">, </w:t>
      </w:r>
      <w:r w:rsidR="00190740">
        <w:t>(Not i</w:t>
      </w:r>
      <w:r w:rsidR="00537682">
        <w:t xml:space="preserve">n attendance:  </w:t>
      </w:r>
      <w:r w:rsidR="00B82A3A">
        <w:t>Kim Rooney</w:t>
      </w:r>
      <w:r w:rsidR="002236E1">
        <w:t>,</w:t>
      </w:r>
      <w:r w:rsidR="00B82A3A">
        <w:t xml:space="preserve"> Bill </w:t>
      </w:r>
      <w:proofErr w:type="spellStart"/>
      <w:r w:rsidR="00B82A3A">
        <w:t>Warnken</w:t>
      </w:r>
      <w:proofErr w:type="spellEnd"/>
      <w:r w:rsidR="002236E1">
        <w:t>,</w:t>
      </w:r>
      <w:r w:rsidR="00B82A3A">
        <w:t xml:space="preserve"> </w:t>
      </w:r>
      <w:r w:rsidR="0077295F">
        <w:t>Katie</w:t>
      </w:r>
      <w:r w:rsidR="00B82A3A">
        <w:t xml:space="preserve"> Ort</w:t>
      </w:r>
      <w:r w:rsidR="0077295F">
        <w:t>, Peg Scarcello</w:t>
      </w:r>
      <w:r w:rsidR="001A3D66">
        <w:t xml:space="preserve">, </w:t>
      </w:r>
      <w:proofErr w:type="spellStart"/>
      <w:r w:rsidR="001A3D66">
        <w:t>Marygrace</w:t>
      </w:r>
      <w:proofErr w:type="spellEnd"/>
      <w:r w:rsidR="001A3D66">
        <w:t xml:space="preserve"> </w:t>
      </w:r>
      <w:proofErr w:type="spellStart"/>
      <w:r w:rsidR="001A3D66">
        <w:t>Bartoldus</w:t>
      </w:r>
      <w:proofErr w:type="spellEnd"/>
      <w:r w:rsidR="00190740">
        <w:t>)</w:t>
      </w:r>
      <w:r w:rsidR="00382783">
        <w:rPr>
          <w:b/>
        </w:rPr>
        <w:tab/>
      </w:r>
      <w:r w:rsidR="00382783">
        <w:rPr>
          <w:b/>
        </w:rPr>
        <w:tab/>
      </w:r>
    </w:p>
    <w:p w:rsidR="00AC5C9D" w:rsidRPr="007C4C80" w:rsidRDefault="00190740" w:rsidP="00190740">
      <w:pPr>
        <w:rPr>
          <w:b/>
        </w:rPr>
      </w:pPr>
      <w:r>
        <w:rPr>
          <w:b/>
        </w:rPr>
        <w:t xml:space="preserve">MEMBER TAKING MINUTES: </w:t>
      </w:r>
      <w:r w:rsidR="002236E1">
        <w:t xml:space="preserve">  Brian McGinn</w:t>
      </w:r>
    </w:p>
    <w:p w:rsidR="007C4C80" w:rsidRPr="00190740" w:rsidRDefault="007C4C80" w:rsidP="00AC5C9D">
      <w:r w:rsidRPr="007C4C80">
        <w:rPr>
          <w:b/>
        </w:rPr>
        <w:t xml:space="preserve">DATE: </w:t>
      </w:r>
      <w:r w:rsidR="001A3D66">
        <w:t xml:space="preserve">  11/13</w:t>
      </w:r>
      <w:r w:rsidR="00537682">
        <w:t>/2013</w:t>
      </w:r>
    </w:p>
    <w:p w:rsidR="007C4C80" w:rsidRPr="00190740" w:rsidRDefault="007C4C80" w:rsidP="00AC5C9D">
      <w:r w:rsidRPr="007C4C80">
        <w:rPr>
          <w:b/>
        </w:rPr>
        <w:t>START TIME:</w:t>
      </w:r>
      <w:r w:rsidR="00190740">
        <w:rPr>
          <w:b/>
        </w:rPr>
        <w:t xml:space="preserve">  </w:t>
      </w:r>
      <w:r w:rsidR="00190740">
        <w:t>2:30</w:t>
      </w:r>
    </w:p>
    <w:p w:rsidR="007C4C80" w:rsidRPr="00190740" w:rsidRDefault="007C4C80" w:rsidP="00AC5C9D">
      <w:r w:rsidRPr="007C4C80">
        <w:rPr>
          <w:b/>
        </w:rPr>
        <w:t>END TIME:</w:t>
      </w:r>
      <w:r w:rsidR="00190740">
        <w:t xml:space="preserve"> </w:t>
      </w:r>
      <w:r w:rsidR="00F84E34">
        <w:t>3:3</w:t>
      </w:r>
      <w:r w:rsidR="00B82A3A">
        <w:t>0</w:t>
      </w:r>
    </w:p>
    <w:p w:rsidR="00BD68D1" w:rsidRDefault="00BD68D1" w:rsidP="00BD68D1"/>
    <w:p w:rsidR="00B54A86" w:rsidRDefault="00B54A86" w:rsidP="00BD68D1"/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1155"/>
        <w:gridCol w:w="5782"/>
        <w:gridCol w:w="1631"/>
        <w:gridCol w:w="2610"/>
      </w:tblGrid>
      <w:tr w:rsidR="00870C8F" w:rsidTr="002236E1">
        <w:tc>
          <w:tcPr>
            <w:tcW w:w="0" w:type="auto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Item</w:t>
            </w:r>
          </w:p>
        </w:tc>
        <w:tc>
          <w:tcPr>
            <w:tcW w:w="0" w:type="auto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Discussion</w:t>
            </w:r>
          </w:p>
        </w:tc>
        <w:tc>
          <w:tcPr>
            <w:tcW w:w="1631" w:type="dxa"/>
          </w:tcPr>
          <w:p w:rsidR="001C6C53" w:rsidRPr="007C4C80" w:rsidRDefault="007C4C80" w:rsidP="00BD68D1">
            <w:pPr>
              <w:rPr>
                <w:b/>
              </w:rPr>
            </w:pPr>
            <w:r w:rsidRPr="007C4C80">
              <w:rPr>
                <w:b/>
              </w:rPr>
              <w:t>C</w:t>
            </w:r>
            <w:r w:rsidR="00D175D4" w:rsidRPr="007C4C80">
              <w:rPr>
                <w:b/>
              </w:rPr>
              <w:t>onclusion</w:t>
            </w:r>
          </w:p>
        </w:tc>
        <w:tc>
          <w:tcPr>
            <w:tcW w:w="2610" w:type="dxa"/>
          </w:tcPr>
          <w:p w:rsidR="001C6C53" w:rsidRPr="007C4C80" w:rsidRDefault="007C4C80" w:rsidP="00D175D4">
            <w:pPr>
              <w:rPr>
                <w:b/>
              </w:rPr>
            </w:pPr>
            <w:r w:rsidRPr="007C4C80">
              <w:rPr>
                <w:b/>
              </w:rPr>
              <w:t>Actions Items/Member Responsible</w:t>
            </w:r>
          </w:p>
        </w:tc>
      </w:tr>
      <w:tr w:rsidR="00870C8F" w:rsidRPr="00A212EA" w:rsidTr="002236E1">
        <w:tc>
          <w:tcPr>
            <w:tcW w:w="0" w:type="auto"/>
          </w:tcPr>
          <w:p w:rsidR="001C6C53" w:rsidRPr="00B54A86" w:rsidRDefault="001A3D66" w:rsidP="00B54A86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Endicott Survey</w:t>
            </w:r>
          </w:p>
        </w:tc>
        <w:tc>
          <w:tcPr>
            <w:tcW w:w="0" w:type="auto"/>
          </w:tcPr>
          <w:p w:rsidR="00653AC7" w:rsidRDefault="001A3D66" w:rsidP="00A212EA">
            <w:r>
              <w:t>Going to look through the results from the Endicott survey for our standard.</w:t>
            </w:r>
          </w:p>
          <w:p w:rsidR="001A3D66" w:rsidRDefault="001A3D66" w:rsidP="00A212EA">
            <w:r>
              <w:t>How do you know whether we are doing well or not??</w:t>
            </w:r>
          </w:p>
          <w:p w:rsidR="00A000FD" w:rsidRDefault="00A000FD" w:rsidP="00A212EA">
            <w:r>
              <w:t>Comments?? Numbers are fairly even between 9</w:t>
            </w:r>
            <w:r w:rsidRPr="00A000FD">
              <w:rPr>
                <w:vertAlign w:val="superscript"/>
              </w:rPr>
              <w:t>th</w:t>
            </w:r>
            <w:r>
              <w:t xml:space="preserve"> and 12</w:t>
            </w:r>
            <w:r w:rsidRPr="00A000FD">
              <w:rPr>
                <w:vertAlign w:val="superscript"/>
              </w:rPr>
              <w:t>th</w:t>
            </w:r>
            <w:r>
              <w:t xml:space="preserve"> grade. None of the differences are earth shattering. </w:t>
            </w:r>
          </w:p>
          <w:p w:rsidR="00A000FD" w:rsidRDefault="00A000FD" w:rsidP="00A212EA">
            <w:r>
              <w:t>Overall there seemed to be a good deal of agreement</w:t>
            </w:r>
          </w:p>
          <w:p w:rsidR="00A000FD" w:rsidRDefault="00A000FD" w:rsidP="00A212EA">
            <w:r>
              <w:t>Joe was surprised the providing of services agreement numbers were so high when we don’t offer shop classes.</w:t>
            </w:r>
          </w:p>
          <w:p w:rsidR="00A000FD" w:rsidRDefault="00A000FD" w:rsidP="00A212EA">
            <w:r>
              <w:t>Low: needing more teachers and parents being actively engaged, yet they rated that the opportunity is there.</w:t>
            </w:r>
          </w:p>
          <w:p w:rsidR="00A000FD" w:rsidRPr="00A212EA" w:rsidRDefault="00A000FD" w:rsidP="00A212EA">
            <w:r>
              <w:t>Next step: see where are we at globally</w:t>
            </w:r>
          </w:p>
        </w:tc>
        <w:tc>
          <w:tcPr>
            <w:tcW w:w="1631" w:type="dxa"/>
          </w:tcPr>
          <w:p w:rsidR="001C6C53" w:rsidRPr="00A212EA" w:rsidRDefault="001C6C53" w:rsidP="00BD68D1"/>
        </w:tc>
        <w:tc>
          <w:tcPr>
            <w:tcW w:w="2610" w:type="dxa"/>
          </w:tcPr>
          <w:p w:rsidR="004B5456" w:rsidRPr="00A212EA" w:rsidRDefault="004B5456" w:rsidP="009A3282"/>
        </w:tc>
      </w:tr>
      <w:tr w:rsidR="00870C8F" w:rsidRPr="00A212EA" w:rsidTr="002236E1">
        <w:tc>
          <w:tcPr>
            <w:tcW w:w="0" w:type="auto"/>
          </w:tcPr>
          <w:p w:rsidR="00B82A3A" w:rsidRPr="00A212EA" w:rsidRDefault="001A3D66" w:rsidP="00B82A3A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Evidence Review</w:t>
            </w:r>
          </w:p>
        </w:tc>
        <w:tc>
          <w:tcPr>
            <w:tcW w:w="0" w:type="auto"/>
          </w:tcPr>
          <w:p w:rsidR="00B82A3A" w:rsidRDefault="00A000FD" w:rsidP="009A3282">
            <w:r>
              <w:t xml:space="preserve">Internships </w:t>
            </w:r>
            <w:proofErr w:type="gramStart"/>
            <w:r>
              <w:t>is</w:t>
            </w:r>
            <w:proofErr w:type="gramEnd"/>
            <w:r>
              <w:t xml:space="preserve"> the only request where all forms were returned.</w:t>
            </w:r>
          </w:p>
          <w:p w:rsidR="00A000FD" w:rsidRDefault="00A000FD" w:rsidP="009A3282">
            <w:r>
              <w:t>Indicator 1: Jim and Jen returned their requests. Nothing back from SAU</w:t>
            </w:r>
          </w:p>
          <w:p w:rsidR="00A000FD" w:rsidRDefault="00A000FD" w:rsidP="009A3282">
            <w:r>
              <w:t>Indicator 2: Nothing back yet</w:t>
            </w:r>
          </w:p>
          <w:p w:rsidR="00A000FD" w:rsidRDefault="00A000FD" w:rsidP="009A3282">
            <w:r>
              <w:t xml:space="preserve">Indicator 3: Long range plan from guidance, Nothing from Food Service or Patty </w:t>
            </w:r>
            <w:proofErr w:type="spellStart"/>
            <w:r>
              <w:t>Parenteau</w:t>
            </w:r>
            <w:proofErr w:type="spellEnd"/>
            <w:r>
              <w:t>, Stacy Vasquez (she did come see use for clarification), Jim (formal long range plan), Glen Woods (tech plan), John Butler, SAU/Jim: enrollment changes and staffing needs</w:t>
            </w:r>
          </w:p>
          <w:p w:rsidR="00A000FD" w:rsidRDefault="00A000FD" w:rsidP="009A3282">
            <w:r>
              <w:t xml:space="preserve">Indicator 4: Jim (faculty and departments </w:t>
            </w:r>
            <w:r w:rsidR="00870C8F">
              <w:t>involvement in budget)</w:t>
            </w:r>
            <w:r>
              <w:t>: Nothing back yet</w:t>
            </w:r>
          </w:p>
          <w:p w:rsidR="00A000FD" w:rsidRDefault="00870C8F" w:rsidP="009A3282">
            <w:r>
              <w:t xml:space="preserve">Indicator 5: Passed in: Science, English, Social Studies, Math, and Guidance.  Nothing from SAU, Amanda asked for clarification but nothing passed in yet, Regina nothing yet. </w:t>
            </w:r>
          </w:p>
          <w:p w:rsidR="00870C8F" w:rsidRDefault="00870C8F" w:rsidP="009A3282">
            <w:r>
              <w:t xml:space="preserve"> Indicator 6: Jen sent information. Data needs to come from John Butler</w:t>
            </w:r>
          </w:p>
          <w:p w:rsidR="00870C8F" w:rsidRDefault="00870C8F" w:rsidP="00736E01">
            <w:r>
              <w:t xml:space="preserve">Indicator 7: Noah (class of 2016 parent </w:t>
            </w:r>
            <w:proofErr w:type="spellStart"/>
            <w:r>
              <w:t>facebook</w:t>
            </w:r>
            <w:proofErr w:type="spellEnd"/>
            <w:r>
              <w:t xml:space="preserve"> pages, HDHS freshmen team page, Freshmen team welcome letter, Email log from freshmen team, </w:t>
            </w:r>
            <w:r w:rsidR="00736E01">
              <w:t>parent email from beginning of the year), Guidance various information.</w:t>
            </w:r>
          </w:p>
          <w:p w:rsidR="00736E01" w:rsidRDefault="00736E01" w:rsidP="00736E01">
            <w:r>
              <w:t>Indicator 8: Received: Kelly Williams, Joe Walker, FBLA Community Outreach, Marc Payeur, John Bramley, Stacy Vasquez, Not back yet from Jim/Stacy school sponsored events.</w:t>
            </w:r>
          </w:p>
          <w:p w:rsidR="00F84E34" w:rsidRDefault="00F84E34" w:rsidP="00736E01"/>
          <w:p w:rsidR="00F84E34" w:rsidRPr="00A212EA" w:rsidRDefault="00F84E34" w:rsidP="00736E01">
            <w:r>
              <w:t>Are other groups having trouble getting information from the SAU? Some groups haven’t even sent out requests yet.</w:t>
            </w:r>
          </w:p>
        </w:tc>
        <w:tc>
          <w:tcPr>
            <w:tcW w:w="1631" w:type="dxa"/>
          </w:tcPr>
          <w:p w:rsidR="00B82A3A" w:rsidRPr="00A212EA" w:rsidRDefault="00B82A3A" w:rsidP="00BD68D1"/>
        </w:tc>
        <w:tc>
          <w:tcPr>
            <w:tcW w:w="2610" w:type="dxa"/>
          </w:tcPr>
          <w:p w:rsidR="00B82A3A" w:rsidRPr="00A212EA" w:rsidRDefault="00B82A3A" w:rsidP="00BD68D1"/>
        </w:tc>
      </w:tr>
      <w:tr w:rsidR="00870C8F" w:rsidRPr="00A212EA" w:rsidTr="002236E1">
        <w:tc>
          <w:tcPr>
            <w:tcW w:w="0" w:type="auto"/>
          </w:tcPr>
          <w:p w:rsidR="00B82A3A" w:rsidRPr="00A212EA" w:rsidRDefault="00F84E34" w:rsidP="00B82A3A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Action</w:t>
            </w:r>
          </w:p>
        </w:tc>
        <w:tc>
          <w:tcPr>
            <w:tcW w:w="0" w:type="auto"/>
          </w:tcPr>
          <w:p w:rsidR="00B54A86" w:rsidRPr="00A212EA" w:rsidRDefault="00F84E34" w:rsidP="00F84E34">
            <w:r>
              <w:t>Should Linda contact people directly t</w:t>
            </w:r>
            <w:r w:rsidR="002236E1">
              <w:t>o try and get information from</w:t>
            </w:r>
            <w:r>
              <w:t xml:space="preserve"> people?</w:t>
            </w:r>
          </w:p>
        </w:tc>
        <w:tc>
          <w:tcPr>
            <w:tcW w:w="1631" w:type="dxa"/>
          </w:tcPr>
          <w:p w:rsidR="00B82A3A" w:rsidRPr="00A212EA" w:rsidRDefault="00B82A3A" w:rsidP="00BD68D1"/>
        </w:tc>
        <w:tc>
          <w:tcPr>
            <w:tcW w:w="2610" w:type="dxa"/>
          </w:tcPr>
          <w:p w:rsidR="00B82A3A" w:rsidRPr="00A212EA" w:rsidRDefault="002236E1" w:rsidP="00BD68D1">
            <w:r>
              <w:t>Linda will check with Alex/Sara</w:t>
            </w:r>
          </w:p>
        </w:tc>
      </w:tr>
      <w:tr w:rsidR="00870C8F" w:rsidRPr="00A212EA" w:rsidTr="002236E1">
        <w:tc>
          <w:tcPr>
            <w:tcW w:w="0" w:type="auto"/>
          </w:tcPr>
          <w:p w:rsidR="00B82A3A" w:rsidRPr="00A212EA" w:rsidRDefault="002236E1" w:rsidP="00B82A3A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Action</w:t>
            </w:r>
          </w:p>
        </w:tc>
        <w:tc>
          <w:tcPr>
            <w:tcW w:w="0" w:type="auto"/>
          </w:tcPr>
          <w:p w:rsidR="003D1C03" w:rsidRPr="00A212EA" w:rsidRDefault="002236E1" w:rsidP="0077295F">
            <w:r>
              <w:t>Michele and Linda will begin drafting the sections that we have survey and evidence.</w:t>
            </w:r>
          </w:p>
        </w:tc>
        <w:tc>
          <w:tcPr>
            <w:tcW w:w="1631" w:type="dxa"/>
          </w:tcPr>
          <w:p w:rsidR="00B82A3A" w:rsidRPr="00A212EA" w:rsidRDefault="00B82A3A" w:rsidP="00BD68D1"/>
        </w:tc>
        <w:tc>
          <w:tcPr>
            <w:tcW w:w="2610" w:type="dxa"/>
          </w:tcPr>
          <w:p w:rsidR="00B82A3A" w:rsidRPr="00A212EA" w:rsidRDefault="002236E1" w:rsidP="00BD68D1">
            <w:r>
              <w:t>Linda and Michele will meet to start process</w:t>
            </w:r>
            <w:bookmarkStart w:id="0" w:name="_GoBack"/>
            <w:bookmarkEnd w:id="0"/>
          </w:p>
        </w:tc>
      </w:tr>
    </w:tbl>
    <w:p w:rsidR="00B54A86" w:rsidRDefault="00B54A86">
      <w:r>
        <w:br w:type="page"/>
      </w: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2400"/>
        <w:gridCol w:w="4033"/>
        <w:gridCol w:w="1716"/>
        <w:gridCol w:w="3029"/>
      </w:tblGrid>
      <w:tr w:rsidR="003D1C03" w:rsidRPr="00A212EA" w:rsidTr="00382783">
        <w:tc>
          <w:tcPr>
            <w:tcW w:w="0" w:type="auto"/>
          </w:tcPr>
          <w:p w:rsidR="00A212EA" w:rsidRPr="00A212EA" w:rsidRDefault="00A212EA" w:rsidP="00B82A3A">
            <w:pPr>
              <w:spacing w:after="200" w:line="276" w:lineRule="auto"/>
              <w:rPr>
                <w:rFonts w:ascii="Calibri" w:hAnsi="Calibri"/>
              </w:rPr>
            </w:pPr>
            <w:r w:rsidRPr="00A212EA">
              <w:rPr>
                <w:rFonts w:ascii="Calibri" w:hAnsi="Calibri"/>
              </w:rPr>
              <w:lastRenderedPageBreak/>
              <w:t>Subcommittee by indicator –do we want to break up in this way to handle the collection and evaluation of evidence?</w:t>
            </w:r>
          </w:p>
        </w:tc>
        <w:tc>
          <w:tcPr>
            <w:tcW w:w="0" w:type="auto"/>
          </w:tcPr>
          <w:p w:rsidR="00A212EA" w:rsidRPr="00A212EA" w:rsidRDefault="009A3282" w:rsidP="0077295F">
            <w:r>
              <w:t>Members pointed out the small size of the committee so it would not be suitable for subcommittees.</w:t>
            </w:r>
          </w:p>
        </w:tc>
        <w:tc>
          <w:tcPr>
            <w:tcW w:w="0" w:type="auto"/>
          </w:tcPr>
          <w:p w:rsidR="00A212EA" w:rsidRPr="00A212EA" w:rsidRDefault="009A3282" w:rsidP="00BD68D1">
            <w:r>
              <w:t>Committee would like to work as group-not as sub committees</w:t>
            </w:r>
          </w:p>
        </w:tc>
        <w:tc>
          <w:tcPr>
            <w:tcW w:w="3029" w:type="dxa"/>
          </w:tcPr>
          <w:p w:rsidR="00A212EA" w:rsidRPr="00A212EA" w:rsidRDefault="009A3282" w:rsidP="00BD68D1">
            <w:r>
              <w:t>None</w:t>
            </w:r>
          </w:p>
        </w:tc>
      </w:tr>
      <w:tr w:rsidR="003D1C03" w:rsidRPr="00A212EA" w:rsidTr="00382783">
        <w:tc>
          <w:tcPr>
            <w:tcW w:w="0" w:type="auto"/>
          </w:tcPr>
          <w:p w:rsidR="00A212EA" w:rsidRPr="00A212EA" w:rsidRDefault="00A212EA" w:rsidP="00A212EA">
            <w:pPr>
              <w:spacing w:after="200" w:line="276" w:lineRule="auto"/>
              <w:rPr>
                <w:rFonts w:ascii="Calibri" w:hAnsi="Calibri"/>
              </w:rPr>
            </w:pPr>
            <w:r w:rsidRPr="00A212EA">
              <w:rPr>
                <w:rFonts w:ascii="Calibri" w:hAnsi="Calibri"/>
              </w:rPr>
              <w:t>Review evidence requests and add to it.</w:t>
            </w:r>
          </w:p>
          <w:p w:rsidR="00DA6A4F" w:rsidRPr="00A212EA" w:rsidRDefault="00DA6A4F" w:rsidP="00A212E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:rsidR="006A773B" w:rsidRPr="00A212EA" w:rsidRDefault="00A212EA" w:rsidP="0008519A">
            <w:r w:rsidRPr="00A212EA">
              <w:t>Reviewed list and reminded members to review it prior to next meeting</w:t>
            </w:r>
            <w:r>
              <w:t>.  Members expressed concern that the requests may not be returned in a timely manner both in-house and SAU wide.  It was suggest</w:t>
            </w:r>
            <w:r w:rsidR="009A3282">
              <w:t>e</w:t>
            </w:r>
            <w:r>
              <w:t xml:space="preserve">d that we add a “due date” to the form that we can use to set a date </w:t>
            </w:r>
            <w:r w:rsidR="009A3282">
              <w:t>prior</w:t>
            </w:r>
            <w:r>
              <w:t xml:space="preserve"> to a meeting.</w:t>
            </w:r>
          </w:p>
        </w:tc>
        <w:tc>
          <w:tcPr>
            <w:tcW w:w="0" w:type="auto"/>
          </w:tcPr>
          <w:p w:rsidR="00D175D4" w:rsidRPr="00A212EA" w:rsidRDefault="00D175D4" w:rsidP="00BD68D1"/>
        </w:tc>
        <w:tc>
          <w:tcPr>
            <w:tcW w:w="3029" w:type="dxa"/>
          </w:tcPr>
          <w:p w:rsidR="006A773B" w:rsidRPr="00A212EA" w:rsidRDefault="00A212EA" w:rsidP="00537682">
            <w:r>
              <w:t xml:space="preserve">All </w:t>
            </w:r>
            <w:r w:rsidR="009A3282">
              <w:t>members will review eviden</w:t>
            </w:r>
            <w:r>
              <w:t>ce and Linda will send a request for date and accountabi</w:t>
            </w:r>
            <w:r w:rsidR="009A3282">
              <w:t>li</w:t>
            </w:r>
            <w:r>
              <w:t>ty concern to Steering committee  Co-chairs</w:t>
            </w:r>
          </w:p>
        </w:tc>
      </w:tr>
      <w:tr w:rsidR="003D1C03" w:rsidRPr="00A212EA" w:rsidTr="00382783">
        <w:tc>
          <w:tcPr>
            <w:tcW w:w="0" w:type="auto"/>
          </w:tcPr>
          <w:p w:rsidR="00B82A3A" w:rsidRPr="00A212EA" w:rsidRDefault="00A212EA" w:rsidP="00C10561">
            <w:pPr>
              <w:spacing w:after="200" w:line="276" w:lineRule="auto"/>
              <w:rPr>
                <w:rFonts w:ascii="Calibri" w:hAnsi="Calibri"/>
              </w:rPr>
            </w:pPr>
            <w:r w:rsidRPr="00A212EA">
              <w:rPr>
                <w:rFonts w:ascii="Calibri" w:hAnsi="Calibri"/>
              </w:rPr>
              <w:t>Agenda for next meeting.</w:t>
            </w:r>
          </w:p>
        </w:tc>
        <w:tc>
          <w:tcPr>
            <w:tcW w:w="0" w:type="auto"/>
          </w:tcPr>
          <w:p w:rsidR="00B82A3A" w:rsidRPr="00A212EA" w:rsidRDefault="00B54A86" w:rsidP="0008519A">
            <w:r>
              <w:t>Will involve filling out evidence requests.</w:t>
            </w:r>
          </w:p>
        </w:tc>
        <w:tc>
          <w:tcPr>
            <w:tcW w:w="0" w:type="auto"/>
          </w:tcPr>
          <w:p w:rsidR="00B82A3A" w:rsidRPr="00A212EA" w:rsidRDefault="00B82A3A" w:rsidP="00BD68D1"/>
        </w:tc>
        <w:tc>
          <w:tcPr>
            <w:tcW w:w="3029" w:type="dxa"/>
          </w:tcPr>
          <w:p w:rsidR="00B82A3A" w:rsidRPr="00A212EA" w:rsidRDefault="00B82A3A" w:rsidP="00537682"/>
        </w:tc>
      </w:tr>
      <w:tr w:rsidR="003D1C03" w:rsidRPr="00A212EA" w:rsidTr="00382783">
        <w:tc>
          <w:tcPr>
            <w:tcW w:w="0" w:type="auto"/>
          </w:tcPr>
          <w:p w:rsidR="004E5597" w:rsidRPr="00A212EA" w:rsidRDefault="00A212EA" w:rsidP="00BD68D1">
            <w:r w:rsidRPr="00A212EA">
              <w:rPr>
                <w:rFonts w:ascii="Calibri" w:hAnsi="Calibri"/>
              </w:rPr>
              <w:t>Other</w:t>
            </w:r>
          </w:p>
        </w:tc>
        <w:tc>
          <w:tcPr>
            <w:tcW w:w="0" w:type="auto"/>
          </w:tcPr>
          <w:p w:rsidR="00F463FD" w:rsidRPr="00A212EA" w:rsidRDefault="00B54A86" w:rsidP="00CA5090">
            <w:r>
              <w:t xml:space="preserve">Viewed updated </w:t>
            </w:r>
            <w:proofErr w:type="spellStart"/>
            <w:r>
              <w:t>Edline</w:t>
            </w:r>
            <w:proofErr w:type="spellEnd"/>
            <w:r>
              <w:t xml:space="preserve"> website changes.</w:t>
            </w:r>
          </w:p>
        </w:tc>
        <w:tc>
          <w:tcPr>
            <w:tcW w:w="0" w:type="auto"/>
          </w:tcPr>
          <w:p w:rsidR="004E5597" w:rsidRPr="00A212EA" w:rsidRDefault="004E5597" w:rsidP="008156BF"/>
        </w:tc>
        <w:tc>
          <w:tcPr>
            <w:tcW w:w="3029" w:type="dxa"/>
          </w:tcPr>
          <w:p w:rsidR="00514300" w:rsidRPr="00A212EA" w:rsidRDefault="00514300" w:rsidP="008156BF"/>
        </w:tc>
      </w:tr>
    </w:tbl>
    <w:p w:rsidR="00BD68D1" w:rsidRPr="00A212EA" w:rsidRDefault="00BD68D1" w:rsidP="00382783"/>
    <w:sectPr w:rsidR="00BD68D1" w:rsidRPr="00A212EA" w:rsidSect="00F6327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FD0" w:rsidRDefault="00151FD0" w:rsidP="0099478A">
      <w:r>
        <w:separator/>
      </w:r>
    </w:p>
  </w:endnote>
  <w:endnote w:type="continuationSeparator" w:id="0">
    <w:p w:rsidR="00151FD0" w:rsidRDefault="00151FD0" w:rsidP="0099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8A" w:rsidRDefault="0099478A" w:rsidP="008156BF">
    <w:pPr>
      <w:pStyle w:val="Footer"/>
      <w:jc w:val="right"/>
    </w:pPr>
    <w:r w:rsidRPr="0099478A">
      <w:rPr>
        <w:sz w:val="16"/>
        <w:szCs w:val="16"/>
      </w:rPr>
      <w:t>JLC 6/15/2012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FD0" w:rsidRDefault="00151FD0" w:rsidP="0099478A">
      <w:r>
        <w:separator/>
      </w:r>
    </w:p>
  </w:footnote>
  <w:footnote w:type="continuationSeparator" w:id="0">
    <w:p w:rsidR="00151FD0" w:rsidRDefault="00151FD0" w:rsidP="00994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1565369882410CAAE2DEF718E2F2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9478A" w:rsidRDefault="0099478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HDHS MEETING MINUTES</w:t>
        </w:r>
      </w:p>
    </w:sdtContent>
  </w:sdt>
  <w:p w:rsidR="0099478A" w:rsidRDefault="009947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10D08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65C0A"/>
    <w:multiLevelType w:val="hybridMultilevel"/>
    <w:tmpl w:val="91D6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51135"/>
    <w:multiLevelType w:val="hybridMultilevel"/>
    <w:tmpl w:val="1E0C0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26EFE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23468"/>
    <w:multiLevelType w:val="hybridMultilevel"/>
    <w:tmpl w:val="72084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B268A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17B63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2750F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A7C25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C1247"/>
    <w:multiLevelType w:val="hybridMultilevel"/>
    <w:tmpl w:val="1E0C0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EE"/>
    <w:rsid w:val="000011E6"/>
    <w:rsid w:val="00046FEC"/>
    <w:rsid w:val="00066FA3"/>
    <w:rsid w:val="0008519A"/>
    <w:rsid w:val="001163FE"/>
    <w:rsid w:val="00151FD0"/>
    <w:rsid w:val="00170B51"/>
    <w:rsid w:val="00190740"/>
    <w:rsid w:val="001A3D66"/>
    <w:rsid w:val="001C0743"/>
    <w:rsid w:val="001C5A58"/>
    <w:rsid w:val="001C6C53"/>
    <w:rsid w:val="002236E1"/>
    <w:rsid w:val="003306CE"/>
    <w:rsid w:val="00382783"/>
    <w:rsid w:val="003B0165"/>
    <w:rsid w:val="003B0737"/>
    <w:rsid w:val="003B7F69"/>
    <w:rsid w:val="003D1C03"/>
    <w:rsid w:val="00423409"/>
    <w:rsid w:val="004376C8"/>
    <w:rsid w:val="00484EF6"/>
    <w:rsid w:val="004B5456"/>
    <w:rsid w:val="004E5597"/>
    <w:rsid w:val="00514300"/>
    <w:rsid w:val="00537682"/>
    <w:rsid w:val="00570169"/>
    <w:rsid w:val="005C66A2"/>
    <w:rsid w:val="005E59E8"/>
    <w:rsid w:val="006015E4"/>
    <w:rsid w:val="00622B8E"/>
    <w:rsid w:val="00630579"/>
    <w:rsid w:val="00642EC8"/>
    <w:rsid w:val="00653AC7"/>
    <w:rsid w:val="00664C25"/>
    <w:rsid w:val="00671F72"/>
    <w:rsid w:val="00682802"/>
    <w:rsid w:val="00694C07"/>
    <w:rsid w:val="006A773B"/>
    <w:rsid w:val="006B4772"/>
    <w:rsid w:val="006C11DF"/>
    <w:rsid w:val="006C1203"/>
    <w:rsid w:val="0070615A"/>
    <w:rsid w:val="00736E01"/>
    <w:rsid w:val="00744921"/>
    <w:rsid w:val="0075030E"/>
    <w:rsid w:val="0077295F"/>
    <w:rsid w:val="0078345D"/>
    <w:rsid w:val="007A4DDB"/>
    <w:rsid w:val="007C4C80"/>
    <w:rsid w:val="008156BF"/>
    <w:rsid w:val="0082162B"/>
    <w:rsid w:val="00847CBC"/>
    <w:rsid w:val="00870C8F"/>
    <w:rsid w:val="008D2323"/>
    <w:rsid w:val="00971CC8"/>
    <w:rsid w:val="00990247"/>
    <w:rsid w:val="0099478A"/>
    <w:rsid w:val="009A3282"/>
    <w:rsid w:val="009D6AC9"/>
    <w:rsid w:val="009D7D13"/>
    <w:rsid w:val="00A000FD"/>
    <w:rsid w:val="00A105C6"/>
    <w:rsid w:val="00A1790B"/>
    <w:rsid w:val="00A212EA"/>
    <w:rsid w:val="00A72CDB"/>
    <w:rsid w:val="00AC5C9D"/>
    <w:rsid w:val="00AE29CD"/>
    <w:rsid w:val="00B2056E"/>
    <w:rsid w:val="00B54A86"/>
    <w:rsid w:val="00B82A3A"/>
    <w:rsid w:val="00BD4F7D"/>
    <w:rsid w:val="00BD68D1"/>
    <w:rsid w:val="00C10561"/>
    <w:rsid w:val="00C24D0F"/>
    <w:rsid w:val="00CA5090"/>
    <w:rsid w:val="00CE2087"/>
    <w:rsid w:val="00D175D4"/>
    <w:rsid w:val="00D957BC"/>
    <w:rsid w:val="00DA6A4F"/>
    <w:rsid w:val="00DB197A"/>
    <w:rsid w:val="00DB3652"/>
    <w:rsid w:val="00DE6CEE"/>
    <w:rsid w:val="00EF7894"/>
    <w:rsid w:val="00F0510B"/>
    <w:rsid w:val="00F463FD"/>
    <w:rsid w:val="00F62668"/>
    <w:rsid w:val="00F6327E"/>
    <w:rsid w:val="00F84E34"/>
    <w:rsid w:val="00FC2F93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1565369882410CAAE2DEF718E2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AFC-01E1-49D7-96BD-4F20DF8AA2F4}"/>
      </w:docPartPr>
      <w:docPartBody>
        <w:p w:rsidR="00193F5E" w:rsidRDefault="00AE0C62" w:rsidP="00AE0C62">
          <w:pPr>
            <w:pStyle w:val="DC1565369882410CAAE2DEF718E2F2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62"/>
    <w:rsid w:val="000C445E"/>
    <w:rsid w:val="001905F7"/>
    <w:rsid w:val="00193F5E"/>
    <w:rsid w:val="001F437F"/>
    <w:rsid w:val="002165FD"/>
    <w:rsid w:val="006424C9"/>
    <w:rsid w:val="00AB50B7"/>
    <w:rsid w:val="00AB61F9"/>
    <w:rsid w:val="00AE0C62"/>
    <w:rsid w:val="00C43B14"/>
    <w:rsid w:val="00DC003E"/>
    <w:rsid w:val="00EC1AF4"/>
    <w:rsid w:val="00F2550E"/>
    <w:rsid w:val="00FE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EF24F-539C-4541-A8C0-297B87C4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HDHS MEETING MINUTES</vt:lpstr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HDHS MEETING MINUTES</dc:title>
  <dc:creator>ndenslow</dc:creator>
  <cp:lastModifiedBy>lsaari</cp:lastModifiedBy>
  <cp:revision>2</cp:revision>
  <cp:lastPrinted>2012-06-18T20:10:00Z</cp:lastPrinted>
  <dcterms:created xsi:type="dcterms:W3CDTF">2013-11-14T12:29:00Z</dcterms:created>
  <dcterms:modified xsi:type="dcterms:W3CDTF">2013-11-14T12:29:00Z</dcterms:modified>
</cp:coreProperties>
</file>